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4044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Cifonel</w:t>
            </w:r>
            <w:r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702F77">
              <w:rPr>
                <w:rFonts w:ascii="Tahoma" w:hAnsi="Tahoma" w:cs="Tahoma"/>
                <w:b w:val="0"/>
              </w:rPr>
              <w:t xml:space="preserve">mgr </w:t>
            </w:r>
            <w:r w:rsidR="00B3756B">
              <w:rPr>
                <w:rFonts w:ascii="Tahoma" w:hAnsi="Tahoma" w:cs="Tahoma"/>
                <w:b w:val="0"/>
              </w:rPr>
              <w:t>Karolina Kuśnierz</w:t>
            </w:r>
            <w:r w:rsidR="00702F77">
              <w:rPr>
                <w:rFonts w:ascii="Tahoma" w:hAnsi="Tahoma" w:cs="Tahoma"/>
                <w:b w:val="0"/>
              </w:rPr>
              <w:t xml:space="preserve">, </w:t>
            </w:r>
            <w:r w:rsidR="005C7F07" w:rsidRPr="004E1229">
              <w:rPr>
                <w:rFonts w:ascii="Tahoma" w:hAnsi="Tahoma" w:cs="Tahoma"/>
                <w:b w:val="0"/>
              </w:rPr>
              <w:t xml:space="preserve">mgr </w:t>
            </w:r>
            <w:r w:rsidR="005C4499">
              <w:rPr>
                <w:rFonts w:ascii="Tahoma" w:hAnsi="Tahoma" w:cs="Tahoma"/>
                <w:b w:val="0"/>
              </w:rPr>
              <w:t>Gabriela Hołub, mgr Katarzyna Kunysz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Anatomia, Fizjologia,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Patologia,Badania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proofErr w:type="spellStart"/>
            <w:r w:rsidR="00502E16" w:rsidRPr="004E122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502E16" w:rsidRPr="004E1229">
              <w:rPr>
                <w:rFonts w:ascii="Tahoma" w:hAnsi="Tahoma" w:cs="Tahoma"/>
                <w:b w:val="0"/>
              </w:rPr>
              <w:t xml:space="preserve">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4915BD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265F2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265F2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33BA4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681F67" w:rsidRPr="00681F67" w:rsidTr="00681F67">
        <w:trPr>
          <w:trHeight w:val="227"/>
          <w:jc w:val="center"/>
        </w:trPr>
        <w:tc>
          <w:tcPr>
            <w:tcW w:w="846" w:type="dxa"/>
            <w:vAlign w:val="center"/>
          </w:tcPr>
          <w:p w:rsidR="00681F67" w:rsidRPr="00681F67" w:rsidRDefault="00681F67" w:rsidP="00681F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681F67">
              <w:rPr>
                <w:rFonts w:ascii="Tahoma" w:hAnsi="Tahoma" w:cs="Tahoma"/>
                <w:color w:val="000000" w:themeColor="text1"/>
              </w:rPr>
              <w:t>P_W10</w:t>
            </w:r>
          </w:p>
        </w:tc>
        <w:tc>
          <w:tcPr>
            <w:tcW w:w="7087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D.W19.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pielęgnacyjno</w:t>
            </w:r>
            <w:proofErr w:type="spellEnd"/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jest gotów do samodzielnego i rzetelnego wykonywania zawodu zgodnie z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>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11253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</w:t>
            </w:r>
            <w:proofErr w:type="spellStart"/>
            <w:r>
              <w:rPr>
                <w:rFonts w:ascii="Tahoma" w:hAnsi="Tahoma" w:cs="Tahoma"/>
                <w:b w:val="0"/>
              </w:rPr>
              <w:t>refratu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11253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E65ED2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65ED2">
              <w:rPr>
                <w:rFonts w:ascii="Tahoma" w:hAnsi="Tahoma" w:cs="Tahoma"/>
                <w:b w:val="0"/>
                <w:bCs/>
              </w:rPr>
              <w:t>Stany zagrożenia życia w opiece geriatrycznej. Zespół majaczeniowy u pacjentów geriatrycznych. Systemy wczesnego ostrzegania EWS i MEWS.</w:t>
            </w:r>
            <w:bookmarkStart w:id="0" w:name="_GoBack"/>
            <w:bookmarkEnd w:id="0"/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osób starszych</w:t>
            </w:r>
            <w:r w:rsidR="007B596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Specyﬁka czynności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 xml:space="preserve">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Pielęgnowanie pacjentów w wieku starszym we współpracy z zespołem terapeutycznym. Promowanie zdrowia u ludzi starszych i planowanie profilaktyki chorób w wieku geriatrycznym. Udział pielęgniarki w doborze sprzętu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 xml:space="preserve">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E65ED2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C33BA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WK3-WK4,WP2-W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P</w:t>
            </w:r>
            <w:r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</w:t>
            </w:r>
            <w:r w:rsidR="00681F6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,</w:t>
            </w:r>
            <w:r w:rsidR="004E41DF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SK6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,</w:t>
            </w:r>
            <w:r w:rsidR="003F3672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 xml:space="preserve">eL3, 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18235B" w:rsidRPr="0018235B" w:rsidTr="00604B6F">
        <w:tc>
          <w:tcPr>
            <w:tcW w:w="3367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18235B" w:rsidRPr="0018235B" w:rsidRDefault="0018235B" w:rsidP="00604B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  <w:t>WP2, WK3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</w:t>
            </w:r>
            <w:r w:rsidRPr="00503B09">
              <w:rPr>
                <w:rFonts w:ascii="Tahoma" w:hAnsi="Tahoma" w:cs="Tahoma"/>
                <w:sz w:val="20"/>
                <w:szCs w:val="20"/>
              </w:rPr>
              <w:lastRenderedPageBreak/>
              <w:t>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18235B" w:rsidRDefault="0018235B" w:rsidP="0018235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976923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>
        <w:rPr>
          <w:rFonts w:ascii="Tahoma" w:eastAsia="Times New Roman" w:hAnsi="Tahoma" w:cs="Tahoma"/>
          <w:bCs/>
          <w:sz w:val="20"/>
          <w:szCs w:val="20"/>
        </w:rPr>
        <w:t>BlackBoard</w:t>
      </w:r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robach w zależności od wieku i stanu zdrowia, z uwzględnieniem działań niepożądanych, interakcji z innymi lekami i dróg podania.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intensywnej opieki medycznej, neurologicznej, psychiatrycznej, pediatrycznej, internistycznej, chirurgicznej, </w:t>
            </w:r>
            <w:proofErr w:type="spellStart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</w:t>
            </w:r>
            <w:proofErr w:type="spellEnd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intensywnej opieki medycznej, neurologicznej, psychiatrycznej, pediatrycznej, internistycznej, chirurgicznej, </w:t>
            </w:r>
            <w:proofErr w:type="spellStart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</w:t>
            </w:r>
            <w:proofErr w:type="spellEnd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08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18235B" w:rsidRPr="0018235B" w:rsidTr="00604B6F">
        <w:tc>
          <w:tcPr>
            <w:tcW w:w="1418" w:type="dxa"/>
            <w:vAlign w:val="center"/>
          </w:tcPr>
          <w:p w:rsidR="0018235B" w:rsidRPr="0018235B" w:rsidRDefault="0018235B" w:rsidP="00604B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popełnia niewielkie 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 plan opieki pielęgniarskiej, wdrażać interwencje pielęgniarskie oraz dokonywać 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prowadzić u osób dorosłych i dzieci żywienie dojelitowe (przez zgłębnik i przetokę odżywczą) oraz żywienie pozajelitowe,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prowadzić u osób dorosłych i dzieci żywienie dojelitowe (przez zgłębnik i przetokę odżywczą) oraz żywienie pozajelitowe;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 sposób bezbłędny i samodzielny prowadzić u osób dorosłych i dzieci żywienie dojelitowe (przez zgłębnik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Merge w:val="restart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43F6E" w:rsidRPr="00652785" w:rsidTr="00681F67">
        <w:trPr>
          <w:trHeight w:val="301"/>
        </w:trPr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681F67"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B3756B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B3756B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B3756B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51B" w:rsidRDefault="004B151B">
      <w:r>
        <w:separator/>
      </w:r>
    </w:p>
  </w:endnote>
  <w:endnote w:type="continuationSeparator" w:id="0">
    <w:p w:rsidR="004B151B" w:rsidRDefault="004B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7F0B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81F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F67" w:rsidRDefault="00681F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81F67" w:rsidRPr="005D2001" w:rsidRDefault="007F0B0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81F6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A5D6D">
          <w:rPr>
            <w:rFonts w:asciiTheme="minorHAnsi" w:hAnsiTheme="minorHAnsi"/>
            <w:noProof/>
            <w:sz w:val="20"/>
          </w:rPr>
          <w:t>10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51B" w:rsidRDefault="004B151B">
      <w:r>
        <w:separator/>
      </w:r>
    </w:p>
  </w:footnote>
  <w:footnote w:type="continuationSeparator" w:id="0">
    <w:p w:rsidR="004B151B" w:rsidRDefault="004B1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1F67" w:rsidRDefault="00E65ED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47C48"/>
    <w:rsid w:val="000562EE"/>
    <w:rsid w:val="0005749C"/>
    <w:rsid w:val="0006058E"/>
    <w:rsid w:val="0007143E"/>
    <w:rsid w:val="000736FD"/>
    <w:rsid w:val="00083761"/>
    <w:rsid w:val="00085A62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3672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151B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4499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A5D6D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B596B"/>
    <w:rsid w:val="007C068F"/>
    <w:rsid w:val="007C1C99"/>
    <w:rsid w:val="007C675D"/>
    <w:rsid w:val="007D191E"/>
    <w:rsid w:val="007D3410"/>
    <w:rsid w:val="007D4D35"/>
    <w:rsid w:val="007E17A4"/>
    <w:rsid w:val="007E4D57"/>
    <w:rsid w:val="007F0B02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67389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3756B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3BA4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65ED2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874E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290C0-BABA-4DA1-9533-E08646C5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6008</Words>
  <Characters>36048</Characters>
  <Application>Microsoft Office Word</Application>
  <DocSecurity>0</DocSecurity>
  <Lines>300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41973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11</cp:revision>
  <cp:lastPrinted>2021-02-17T18:19:00Z</cp:lastPrinted>
  <dcterms:created xsi:type="dcterms:W3CDTF">2022-09-12T09:31:00Z</dcterms:created>
  <dcterms:modified xsi:type="dcterms:W3CDTF">2024-06-06T20:52:00Z</dcterms:modified>
</cp:coreProperties>
</file>