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711FBF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3270" cy="739775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3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711FBF" w:rsidRDefault="00711FB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711FBF" w:rsidRDefault="002D764F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  <w:szCs w:val="36"/>
        </w:rPr>
      </w:pPr>
      <w:r>
        <w:rPr>
          <w:rFonts w:ascii="Tahoma" w:hAnsi="Tahoma" w:cs="Tahoma"/>
          <w:b/>
          <w:smallCaps/>
          <w:color w:val="000000" w:themeColor="text1"/>
          <w:sz w:val="36"/>
          <w:szCs w:val="36"/>
        </w:rPr>
        <w:t>karta przedmiotu</w:t>
      </w:r>
    </w:p>
    <w:p w:rsidR="00711FBF" w:rsidRDefault="00711FB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711FBF" w:rsidRDefault="002D764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Finanse międzynarodowe</w:t>
            </w:r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20</w:t>
            </w:r>
            <w:r w:rsidR="002B76DD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  <w:r w:rsidR="00CD7678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/202</w:t>
            </w:r>
            <w:r w:rsidR="00CD7678">
              <w:rPr>
                <w:rFonts w:ascii="Tahoma" w:hAnsi="Tahoma" w:cs="Tahoma"/>
                <w:b w:val="0"/>
                <w:color w:val="000000" w:themeColor="text1"/>
                <w:szCs w:val="20"/>
              </w:rPr>
              <w:t>3</w:t>
            </w:r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81069B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Zarządzanie</w:t>
            </w:r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Studia I Stopnia</w:t>
            </w:r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Praktyczny</w:t>
            </w:r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4D7963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Zarządzanie biznesem międzynarodowym</w:t>
            </w:r>
            <w:bookmarkStart w:id="0" w:name="_GoBack"/>
            <w:bookmarkEnd w:id="0"/>
          </w:p>
        </w:tc>
      </w:tr>
      <w:tr w:rsidR="00711FB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mgr Łukasz Cywiński</w:t>
            </w:r>
          </w:p>
        </w:tc>
      </w:tr>
      <w:tr w:rsidR="00711FBF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Studia w języku angielskim</w:t>
            </w:r>
          </w:p>
        </w:tc>
      </w:tr>
    </w:tbl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0"/>
          <w:szCs w:val="20"/>
        </w:rPr>
      </w:pPr>
    </w:p>
    <w:p w:rsidR="00711FBF" w:rsidRDefault="002D764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  <w:sz w:val="22"/>
        </w:rPr>
      </w:pPr>
      <w:r>
        <w:rPr>
          <w:rFonts w:ascii="Tahoma" w:hAnsi="Tahoma" w:cs="Tahoma"/>
          <w:color w:val="000000" w:themeColor="text1"/>
          <w:sz w:val="22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 w:themeColor="text1"/>
          <w:sz w:val="22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11FB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Podstawy Makroekonomii</w:t>
            </w:r>
          </w:p>
        </w:tc>
      </w:tr>
    </w:tbl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0"/>
          <w:szCs w:val="20"/>
        </w:rPr>
      </w:pPr>
    </w:p>
    <w:p w:rsidR="00711FBF" w:rsidRDefault="002D764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  <w:color w:val="000000" w:themeColor="text1"/>
          <w:szCs w:val="24"/>
        </w:rPr>
        <w:t>Efekty uczenia się i sposób realizacji zajęć</w:t>
      </w:r>
    </w:p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0"/>
          <w:szCs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>
        <w:rPr>
          <w:rFonts w:ascii="Tahoma" w:hAnsi="Tahoma" w:cs="Tahoma"/>
          <w:color w:val="000000" w:themeColor="text1"/>
          <w:szCs w:val="22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711FBF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Zapoznanie studentów z architekturą i sposobem działania międzynarodowych instytucji finansowych.</w:t>
            </w:r>
          </w:p>
        </w:tc>
      </w:tr>
      <w:tr w:rsidR="00711FBF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Objaśnienie operacji finansowych dokonywanych przez korporacje międzynarodowe.</w:t>
            </w:r>
          </w:p>
        </w:tc>
      </w:tr>
      <w:tr w:rsidR="00711FBF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Prezentacja metod możliwych do wykorzystania przy ocenie czynników determinujących międzynarodową działalność gospodarczą.</w:t>
            </w:r>
          </w:p>
        </w:tc>
      </w:tr>
    </w:tbl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0"/>
          <w:szCs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color w:val="000000" w:themeColor="text1"/>
          <w:szCs w:val="22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711FBF">
        <w:trPr>
          <w:cantSplit/>
          <w:trHeight w:val="11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</w:pPr>
            <w:r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:rsidR="00711FBF" w:rsidRDefault="002D764F">
            <w:pPr>
              <w:pStyle w:val="Nagwkitablic"/>
            </w:pPr>
            <w:r>
              <w:rPr>
                <w:rFonts w:ascii="Tahoma" w:hAnsi="Tahoma" w:cs="Tahoma"/>
                <w:color w:val="000000" w:themeColor="text1"/>
              </w:rPr>
              <w:t>uczenia się dla kierunku</w:t>
            </w:r>
          </w:p>
          <w:p w:rsidR="00711FBF" w:rsidRDefault="00711FBF">
            <w:pPr>
              <w:pStyle w:val="Nagwkitablic"/>
            </w:pPr>
          </w:p>
        </w:tc>
      </w:tr>
      <w:tr w:rsidR="00711FBF">
        <w:trPr>
          <w:trHeight w:val="227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B1054B" w:rsidTr="009E0457">
        <w:trPr>
          <w:trHeight w:val="2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54B" w:rsidRDefault="00B1054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54B" w:rsidRDefault="00B1054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Identyfikować najważniejsze międzynarodowe instytucje finansowe oraz potrafi scharakteryzować zasady ich funkcjonowania.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54B" w:rsidRDefault="00B1054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K_W03</w:t>
            </w:r>
          </w:p>
          <w:p w:rsidR="00B1054B" w:rsidRDefault="00B1054B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054B" w:rsidTr="009E0457">
        <w:trPr>
          <w:trHeight w:val="2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54B" w:rsidRDefault="00B1054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54B" w:rsidRDefault="00B1054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Rozróżnić kluczowe operacje finansowe podejmowane przez przedsiębiorstwa międzynarodowe oraz zilustrować potencjalne korzyści i zagrożenia.</w:t>
            </w:r>
          </w:p>
        </w:tc>
        <w:tc>
          <w:tcPr>
            <w:tcW w:w="2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54B" w:rsidRDefault="00B1054B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11FBF">
        <w:trPr>
          <w:trHeight w:val="2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Wyjaśnić relację zachodzącą pomiędzy działalnością przedsiębiorstw międzynarodowych i podstawowymi typami struktur międzynarodowych systemów finansowych.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B1054B" w:rsidP="0053276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11FBF">
        <w:trPr>
          <w:trHeight w:val="227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11FBF">
        <w:trPr>
          <w:trHeight w:val="2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sporządzić opracowanie na podstawie danych zdobytych metodą</w:t>
            </w:r>
            <w:r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desk</w:t>
            </w:r>
            <w:proofErr w:type="spellEnd"/>
            <w:r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research</w:t>
            </w:r>
            <w:proofErr w:type="spellEnd"/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</w:t>
            </w:r>
            <w:r w:rsidR="00B1054B">
              <w:rPr>
                <w:rFonts w:ascii="Tahoma" w:hAnsi="Tahoma" w:cs="Tahoma"/>
                <w:color w:val="000000" w:themeColor="text1"/>
              </w:rPr>
              <w:t>01</w:t>
            </w:r>
          </w:p>
          <w:p w:rsidR="00711FBF" w:rsidRDefault="00711FBF">
            <w:pPr>
              <w:pStyle w:val="wrubryce"/>
              <w:spacing w:before="0" w:after="0"/>
              <w:jc w:val="center"/>
            </w:pPr>
          </w:p>
        </w:tc>
      </w:tr>
      <w:tr w:rsidR="00711FBF">
        <w:trPr>
          <w:trHeight w:val="2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dokonać syntetycznej analizy opierając się na wskaźnikach lub danych statystycznych.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711FB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</w:tbl>
    <w:p w:rsidR="00711FBF" w:rsidRDefault="00711FBF">
      <w:pPr>
        <w:pStyle w:val="Podpunkty"/>
        <w:ind w:left="0"/>
        <w:rPr>
          <w:rFonts w:ascii="Tahoma" w:hAnsi="Tahoma" w:cs="Tahoma"/>
          <w:color w:val="000000" w:themeColor="text1"/>
          <w:sz w:val="20"/>
        </w:rPr>
      </w:pPr>
    </w:p>
    <w:p w:rsidR="00115720" w:rsidRDefault="00115720" w:rsidP="00115720">
      <w:pPr>
        <w:pStyle w:val="Podpunkty"/>
        <w:ind w:left="0"/>
        <w:rPr>
          <w:rFonts w:ascii="Tahoma" w:hAnsi="Tahoma" w:cs="Tahoma"/>
          <w:color w:val="000000" w:themeColor="text1"/>
          <w:sz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lastRenderedPageBreak/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711FBF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Studia stacjonarne (ST)</w:t>
            </w:r>
          </w:p>
        </w:tc>
      </w:tr>
      <w:tr w:rsidR="00711FBF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711FBF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–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–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–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–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</w:tbl>
    <w:p w:rsidR="00711FBF" w:rsidRDefault="002D764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711FB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711FB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Konwersatorium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Dyskusja oparta o pytania problemowe prezentowane przez prowadzącego; poprzedzona krótką prezentacją zagadnienia. Po prezentacji studenci otrzymują zestaw pytań problemowych, po każdym z nich mają czas na zastanowienie się i znalezienie odpowiedzi – podczas zajęć mogą korzystać z Internetu, źródeł bibliotecznych i własnych notatek. Prowadzący przygotowuje również pytania pomocnicze, które udostępnia uczestnikom kursu w przypadku, gdy znalezienie odpowiedzi sprawia im problemy. Na koniec zajęć następuje podsumowanie dyskusji realizowane przez prowadzącego.</w:t>
            </w:r>
          </w:p>
        </w:tc>
      </w:tr>
      <w:tr w:rsidR="00711FB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 indywidualny. Studenci wybierają temat z listy udostępnionej przez Prowadzącego. Ich zadanie polega na sporządzeniu opracowania w oparciu o analizę fachowej literatury, dane statystyczne oraz wybrane wskaźniki.</w:t>
            </w:r>
          </w:p>
        </w:tc>
      </w:tr>
    </w:tbl>
    <w:p w:rsidR="00711FBF" w:rsidRDefault="00711FB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711FBF" w:rsidRDefault="00711FBF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711FBF" w:rsidRDefault="002D764F">
      <w:pPr>
        <w:pStyle w:val="Podpunkty"/>
        <w:ind w:left="0"/>
        <w:rPr>
          <w:rFonts w:ascii="Tahoma" w:hAnsi="Tahoma" w:cs="Tahoma"/>
          <w:smallCaps/>
          <w:color w:val="000000" w:themeColor="text1"/>
          <w:sz w:val="20"/>
        </w:rPr>
      </w:pPr>
      <w:r>
        <w:rPr>
          <w:rFonts w:ascii="Tahoma" w:hAnsi="Tahoma" w:cs="Tahoma"/>
          <w:smallCaps/>
          <w:color w:val="000000" w:themeColor="text1"/>
          <w:sz w:val="20"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711FBF" w:rsidTr="002B76DD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konwersatoriów</w:t>
            </w:r>
          </w:p>
        </w:tc>
      </w:tr>
      <w:tr w:rsidR="00711FBF" w:rsidTr="002B76DD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711FB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711F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Historia międzynarodowego handlu i finansów: od przeszłości do czasów współczesnych. Rewolucja przemysłowa i jej podstawy instytucjonalne. Czynniki determinujące międzynarodowe przepływy handlu: geograficzne, technologiczne oraz instytucjonalne.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Teoria przewag komparatywnych oraz teoria przewag absolutnych. Krzywa zdolności produkcyjnych a międzynarodowa wymiana handlowa. 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Teoria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Heckschera-Ohlina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oraz jej podstawowe założenia. Rola kosztów transportu oraz ekonomii skali w wymianie międzynarodowej. 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Protekcjonizm i liberalizacja. Instytucjonalne czynniki determinujące przepływy handlu i finansów. Autarkia i wolny handel.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Regionalne umowy integracyjne a przepływy finansowe przedsiębiorstw. Typy integracji ekonomicznej; efekty unii celnej. Podstawowe czynniki determinujące bezpośrednie inwestycje zagraniczne.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Międzynarodowe przepływy kapitałowe oraz ich rejestracje na rachunkach bilansu płatniczego. Znaczenie eurorynków w międzynarodowej działalności gospodarczej.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Międzynarodowe instytucje finansowe a poprawa jakości życia – instytucjonalne czynniki kształtujące globalizację.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Współczesne aspekty międzynarodowej działalności gospodarczej. Dyskusja – rola czynników politycznych i technologicznych.</w:t>
            </w: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K9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Wpływ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hedgingu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na rozwój podmiotów handlu zagranicznego – studium przypadku.</w:t>
            </w:r>
          </w:p>
        </w:tc>
      </w:tr>
    </w:tbl>
    <w:p w:rsidR="00711FBF" w:rsidRDefault="002D764F">
      <w:pPr>
        <w:rPr>
          <w:rFonts w:ascii="Tahoma" w:eastAsia="Times New Roman" w:hAnsi="Tahoma" w:cs="Tahoma"/>
          <w:b/>
          <w:smallCaps/>
          <w:color w:val="000000" w:themeColor="text1"/>
          <w:sz w:val="20"/>
          <w:szCs w:val="20"/>
          <w:lang w:eastAsia="pl-PL"/>
        </w:rPr>
      </w:pPr>
      <w:r>
        <w:br w:type="page"/>
      </w:r>
    </w:p>
    <w:p w:rsidR="00711FBF" w:rsidRDefault="002D764F">
      <w:pPr>
        <w:pStyle w:val="Podpunkty"/>
        <w:ind w:left="0"/>
        <w:rPr>
          <w:rFonts w:ascii="Tahoma" w:hAnsi="Tahoma" w:cs="Tahoma"/>
          <w:smallCaps/>
          <w:color w:val="000000" w:themeColor="text1"/>
          <w:sz w:val="20"/>
        </w:rPr>
      </w:pPr>
      <w:r>
        <w:rPr>
          <w:rFonts w:ascii="Tahoma" w:hAnsi="Tahoma" w:cs="Tahoma"/>
          <w:smallCaps/>
          <w:color w:val="000000" w:themeColor="text1"/>
          <w:sz w:val="20"/>
        </w:rPr>
        <w:lastRenderedPageBreak/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711FBF" w:rsidTr="002B76DD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projektu</w:t>
            </w:r>
          </w:p>
        </w:tc>
      </w:tr>
      <w:tr w:rsidR="00711FBF" w:rsidTr="002B76DD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711FB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711F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11FBF" w:rsidTr="002B76D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Sporządzenie opracowania na wybrany temat z listy udostępnionej przez prowadzącego za pośrednictwem platformy </w:t>
            </w:r>
            <w:proofErr w:type="spellStart"/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  <w:lang w:eastAsia="pl-PL"/>
              </w:rPr>
              <w:t>blackboard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. Opracowanie sporządzone na podstawie wybranych danych statystycznych oraz analizy </w:t>
            </w:r>
            <w:proofErr w:type="spellStart"/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  <w:lang w:eastAsia="pl-PL"/>
              </w:rPr>
              <w:t>research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</w:tr>
    </w:tbl>
    <w:p w:rsidR="00711FBF" w:rsidRDefault="00711FBF">
      <w:pPr>
        <w:pStyle w:val="Podpunkty"/>
        <w:ind w:left="0"/>
        <w:rPr>
          <w:rFonts w:ascii="Tahoma" w:hAnsi="Tahoma" w:cs="Tahoma"/>
          <w:smallCaps/>
          <w:color w:val="000000" w:themeColor="text1"/>
          <w:sz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color w:val="000000" w:themeColor="text1"/>
          <w:spacing w:val="-8"/>
          <w:sz w:val="20"/>
        </w:rPr>
        <w:t>Korelacja pomiędzy efektami uczenia się, celami przedmiotu, a treściami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711FB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Efekt uczenia się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Cele przedmiotu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711FB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B1054B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1054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C1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K1, K4, K5, K7</w:t>
            </w:r>
          </w:p>
        </w:tc>
      </w:tr>
      <w:tr w:rsidR="00711FB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B1054B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B1054B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C2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K3, K5, K6, K8, K9</w:t>
            </w:r>
          </w:p>
        </w:tc>
      </w:tr>
      <w:tr w:rsidR="00711FB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B1054B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B1054B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C2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K2, K3</w:t>
            </w:r>
          </w:p>
        </w:tc>
      </w:tr>
      <w:tr w:rsidR="00711FB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B1054B" w:rsidRDefault="002D764F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B1054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C3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P1,</w:t>
            </w:r>
          </w:p>
        </w:tc>
      </w:tr>
      <w:tr w:rsidR="00711FB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B1054B" w:rsidRDefault="002D764F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B1054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C3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532760" w:rsidRDefault="002D764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32760">
              <w:rPr>
                <w:rFonts w:ascii="Tahoma" w:hAnsi="Tahoma" w:cs="Tahoma"/>
                <w:color w:val="000000" w:themeColor="text1"/>
                <w:sz w:val="20"/>
              </w:rPr>
              <w:t>P1,</w:t>
            </w:r>
          </w:p>
        </w:tc>
      </w:tr>
    </w:tbl>
    <w:p w:rsidR="00711FBF" w:rsidRDefault="00711FBF">
      <w:pPr>
        <w:pStyle w:val="Podpunkty"/>
        <w:ind w:left="0"/>
        <w:rPr>
          <w:rFonts w:ascii="Tahoma" w:hAnsi="Tahoma" w:cs="Tahoma"/>
          <w:color w:val="000000" w:themeColor="text1"/>
          <w:sz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color w:val="000000" w:themeColor="text1"/>
          <w:sz w:val="20"/>
        </w:rPr>
        <w:t>Metody weryfikacji efektów uczenia się</w:t>
      </w:r>
      <w:r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17"/>
        <w:gridCol w:w="5752"/>
      </w:tblGrid>
      <w:tr w:rsidR="00711FBF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Efekt uczenia się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11FBF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Test jednokrotnego wyboru oraz zadania problemowe</w:t>
            </w:r>
          </w:p>
        </w:tc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Konwersatorium</w:t>
            </w:r>
          </w:p>
        </w:tc>
      </w:tr>
      <w:tr w:rsidR="00711FBF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711FB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711FB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054B" w:rsidTr="00B6514E">
        <w:trPr>
          <w:trHeight w:val="65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054B" w:rsidRDefault="00B105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P_W03</w:t>
            </w:r>
          </w:p>
          <w:p w:rsidR="00B1054B" w:rsidRDefault="00B1054B" w:rsidP="00B6514E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54B" w:rsidRDefault="00B105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54B" w:rsidRDefault="00B105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11FBF">
        <w:trPr>
          <w:trHeight w:val="627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Opracowanie</w:t>
            </w:r>
          </w:p>
          <w:p w:rsidR="00711FBF" w:rsidRDefault="00711FB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Projekt</w:t>
            </w:r>
          </w:p>
        </w:tc>
      </w:tr>
      <w:tr w:rsidR="00711FBF">
        <w:trPr>
          <w:trHeight w:val="65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711FB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711FB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</w:tbl>
    <w:p w:rsidR="00711FBF" w:rsidRDefault="00711FBF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color w:val="000000" w:themeColor="text1"/>
          <w:sz w:val="20"/>
        </w:rPr>
        <w:t>Kryteria oceny stopnia osiągnięcia efektów uczenia się</w:t>
      </w:r>
    </w:p>
    <w:tbl>
      <w:tblPr>
        <w:tblW w:w="9787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66"/>
        <w:gridCol w:w="1979"/>
        <w:gridCol w:w="1980"/>
        <w:gridCol w:w="2048"/>
      </w:tblGrid>
      <w:tr w:rsidR="00711FBF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</w:t>
            </w:r>
          </w:p>
          <w:p w:rsidR="00711FBF" w:rsidRDefault="002D764F">
            <w:pPr>
              <w:pStyle w:val="Nagwkitablic"/>
              <w:ind w:left="-57" w:right="-57"/>
            </w:pPr>
            <w:r>
              <w:rPr>
                <w:rFonts w:ascii="Tahoma" w:hAnsi="Tahoma" w:cs="Tahoma"/>
                <w:color w:val="000000" w:themeColor="text1"/>
                <w:spacing w:val="-6"/>
              </w:rPr>
              <w:t>uczenia się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711FBF" w:rsidRDefault="002D764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11FB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zidentyfikować najważniejszych międzynarodowych instytucji finansowych.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odpowiedzieć poprawnie na więcej niż połowę, ale mniej niż 71% pytań dot. międzynarodowych instytucji finansowych oraz zasad ich funkcjonowania.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odpowiedzieć poprawnie na więcej niż 71% ale mniej niż 91% pytań dot. międzynarodowych instytucji finansowych oraz zasad ich funkcjonowania.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odpowiedzieć poprawnie na więcej niż 91% pytań dot. międzynarodowych instytucji finansowych oraz zasad ich funkcjonowania.</w:t>
            </w:r>
          </w:p>
        </w:tc>
      </w:tr>
      <w:tr w:rsidR="00711FB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zidentyfikować korzyści i zagrożeń związanych z międzynarodową działalnością gospodarczą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odpowiedzieć na więcej niż połowę, ale mniej niż 71% pytań międzynarodowej działalności gospodarczej.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odpowiedzieć na więcej niż 71% ale mniej niż 91% pytań dot. międzynarodowej działalności gospodarczej.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odpowiedzieć na więcej niż 91% pytań dot. międzynarodowej działalności gospodarczej.</w:t>
            </w:r>
          </w:p>
        </w:tc>
      </w:tr>
      <w:tr w:rsidR="00711FB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wyjaśnić na czym polega relacja pomiędzy </w:t>
            </w:r>
            <w:r>
              <w:rPr>
                <w:rFonts w:ascii="Tahoma" w:hAnsi="Tahoma" w:cs="Tahoma"/>
                <w:color w:val="000000" w:themeColor="text1"/>
              </w:rPr>
              <w:lastRenderedPageBreak/>
              <w:t>działalnością przedsiębiorstw międzynarodowych i międzynarodowym systemem finansowym.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odpowiedzieć na więcej niż połowę, ale mniej niż 71%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pytań międzynarodowego systemu finansowego i międzynarodowej działalności finansowej.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odpowiedzieć na więcej niż 71% ale mniej niż 91% dot.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międzynarodowego systemu finansowego i międzynarodowej działalności finansowej.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odpowiedzieć na więcej niż 91% pytań dot.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międzynarodowego systemu finansowego i międzynarodowej działalności finansowej.</w:t>
            </w:r>
          </w:p>
        </w:tc>
      </w:tr>
      <w:tr w:rsidR="00711FB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P_U01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opracowania na podstawie danych zdobytych metodą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desk</w:t>
            </w:r>
            <w:proofErr w:type="spellEnd"/>
            <w:r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research</w:t>
            </w:r>
            <w:proofErr w:type="spellEnd"/>
            <w:r>
              <w:rPr>
                <w:rFonts w:ascii="Tahoma" w:hAnsi="Tahoma" w:cs="Tahoma"/>
                <w:color w:val="000000" w:themeColor="text1"/>
              </w:rPr>
              <w:t>. zawierającą przegląd literatury, analizę oraz wnioski</w:t>
            </w:r>
          </w:p>
          <w:p w:rsidR="00711FBF" w:rsidRDefault="00711FB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opracowanie na podstawie danych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desk</w:t>
            </w:r>
            <w:proofErr w:type="spellEnd"/>
            <w:r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research</w:t>
            </w:r>
            <w:proofErr w:type="spellEnd"/>
            <w:r>
              <w:rPr>
                <w:rFonts w:ascii="Tahoma" w:hAnsi="Tahoma" w:cs="Tahoma"/>
                <w:color w:val="000000" w:themeColor="text1"/>
              </w:rPr>
              <w:t xml:space="preserve">, która zawiera przynajmniej jeden z trzech wymaganych elementów.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opracowanie na podstawie danych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desk</w:t>
            </w:r>
            <w:proofErr w:type="spellEnd"/>
            <w:r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research</w:t>
            </w:r>
            <w:proofErr w:type="spellEnd"/>
            <w:r>
              <w:rPr>
                <w:rFonts w:ascii="Tahoma" w:hAnsi="Tahoma" w:cs="Tahoma"/>
                <w:color w:val="000000" w:themeColor="text1"/>
              </w:rPr>
              <w:t xml:space="preserve">, która zawiera przynajmniej dwa z trzech wymaganych elementów.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opracowanie na podstawie danych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desk</w:t>
            </w:r>
            <w:proofErr w:type="spellEnd"/>
            <w:r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color w:val="000000" w:themeColor="text1"/>
              </w:rPr>
              <w:t>research</w:t>
            </w:r>
            <w:proofErr w:type="spellEnd"/>
            <w:r>
              <w:rPr>
                <w:rFonts w:ascii="Tahoma" w:hAnsi="Tahoma" w:cs="Tahoma"/>
                <w:color w:val="000000" w:themeColor="text1"/>
              </w:rPr>
              <w:t xml:space="preserve">, która zawiera wszystkie z wymaganych elementów. </w:t>
            </w:r>
          </w:p>
        </w:tc>
      </w:tr>
      <w:tr w:rsidR="00711FB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dokonać syntetycznej analizy opierając się na wskaźnikach lub danych statystycznych.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syntetyczną analizę opierając się na wskaźnikach lub danych statystycznych, która zawiera przynajmniej jeden z trzech wymaganych elementów.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syntetyczną analizę opierając się na wskaźnikach lub danych statystycznych, która zawiera przynajmniej dwa z trzech wymaganych elementów.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sporządzić syntetyczną analizę opierając się na wskaźnikach lub danych statystycznych, która zawiera wszystkie z wymaganych elementów. </w:t>
            </w:r>
          </w:p>
        </w:tc>
      </w:tr>
    </w:tbl>
    <w:p w:rsidR="00711FBF" w:rsidRDefault="00711FBF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711FBF" w:rsidRDefault="002D764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11FB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11FB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Winiecki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J., (2003) International Trade and Finance: Lecture Notes.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Biblioteka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WSIiZ nr.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Inw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.: 002-86.</w:t>
            </w:r>
          </w:p>
        </w:tc>
      </w:tr>
      <w:tr w:rsidR="00711FB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Allen W. R. (1959) Foreign Trade and Finance; essays in international economics equilibrium and adjustment. New York, Macmillan </w:t>
            </w:r>
          </w:p>
        </w:tc>
      </w:tr>
    </w:tbl>
    <w:p w:rsidR="00711FBF" w:rsidRDefault="00711FBF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11FB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FBF" w:rsidRDefault="002D764F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lang w:val="en-GB"/>
              </w:rPr>
              <w:t>Literatura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lang w:val="en-GB"/>
              </w:rPr>
              <w:t>uzupełniająca</w:t>
            </w:r>
            <w:proofErr w:type="spellEnd"/>
          </w:p>
        </w:tc>
      </w:tr>
      <w:tr w:rsidR="00711FB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Default="002D764F">
            <w:pPr>
              <w:pStyle w:val="Nagwek2"/>
              <w:spacing w:after="0" w:line="240" w:lineRule="auto"/>
              <w:ind w:left="0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 w:val="0"/>
                <w:color w:val="000000" w:themeColor="text1"/>
                <w:szCs w:val="20"/>
                <w:lang w:val="en-US" w:eastAsia="pl-PL"/>
              </w:rPr>
              <w:t>Bannock G., (1999) The Penguin international dictionary of finance. London, Penguin Books</w:t>
            </w:r>
          </w:p>
        </w:tc>
      </w:tr>
    </w:tbl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0"/>
          <w:szCs w:val="20"/>
          <w:lang w:val="en-GB"/>
        </w:rPr>
      </w:pPr>
    </w:p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0"/>
          <w:szCs w:val="20"/>
          <w:lang w:val="en-GB"/>
        </w:rPr>
      </w:pPr>
    </w:p>
    <w:p w:rsidR="00711FBF" w:rsidRDefault="002D764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Nakład pracy studenta - bilans punktów ECTS</w:t>
      </w:r>
    </w:p>
    <w:p w:rsidR="00711FBF" w:rsidRDefault="00711FBF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9527" w:type="dxa"/>
        <w:jc w:val="center"/>
        <w:tblLook w:val="0000" w:firstRow="0" w:lastRow="0" w:firstColumn="0" w:lastColumn="0" w:noHBand="0" w:noVBand="0"/>
      </w:tblPr>
      <w:tblGrid>
        <w:gridCol w:w="6965"/>
        <w:gridCol w:w="2562"/>
      </w:tblGrid>
      <w:tr w:rsidR="006E1AC5" w:rsidTr="00115720">
        <w:trPr>
          <w:cantSplit/>
          <w:trHeight w:val="769"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AC5" w:rsidRDefault="006E1AC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25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1AC5" w:rsidRDefault="006E1AC5" w:rsidP="00953B5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:rsidR="006E1AC5" w:rsidRDefault="006E1AC5" w:rsidP="00953B5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711FBF" w:rsidTr="00115720">
        <w:trPr>
          <w:cantSplit/>
          <w:trHeight w:val="295"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20h</w:t>
            </w:r>
          </w:p>
        </w:tc>
      </w:tr>
      <w:tr w:rsidR="00711FBF" w:rsidTr="00115720">
        <w:trPr>
          <w:cantSplit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4h</w:t>
            </w:r>
          </w:p>
        </w:tc>
      </w:tr>
      <w:tr w:rsidR="00711FBF" w:rsidTr="00115720">
        <w:trPr>
          <w:cantSplit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25h</w:t>
            </w:r>
          </w:p>
        </w:tc>
      </w:tr>
      <w:tr w:rsidR="00711FBF" w:rsidTr="00115720">
        <w:trPr>
          <w:cantSplit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953B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10h</w:t>
            </w:r>
          </w:p>
        </w:tc>
      </w:tr>
      <w:tr w:rsidR="00711FBF" w:rsidTr="00115720">
        <w:trPr>
          <w:cantSplit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53B55">
              <w:rPr>
                <w:color w:val="auto"/>
                <w:sz w:val="20"/>
                <w:szCs w:val="20"/>
              </w:rPr>
              <w:t>16h</w:t>
            </w:r>
          </w:p>
        </w:tc>
      </w:tr>
      <w:tr w:rsidR="00711FBF" w:rsidTr="00115720">
        <w:trPr>
          <w:cantSplit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953B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711FBF" w:rsidTr="00115720">
        <w:trPr>
          <w:cantSplit/>
          <w:jc w:val="center"/>
        </w:trPr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FBF" w:rsidRPr="00953B55" w:rsidRDefault="002D764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53B55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953B55" w:rsidTr="00115720">
        <w:trPr>
          <w:cantSplit/>
          <w:jc w:val="center"/>
        </w:trPr>
        <w:tc>
          <w:tcPr>
            <w:tcW w:w="69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55" w:rsidRPr="00953B55" w:rsidRDefault="00953B55">
            <w:pPr>
              <w:pStyle w:val="Default"/>
              <w:rPr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55" w:rsidRPr="00953B55" w:rsidRDefault="00953B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53B55" w:rsidTr="00115720">
        <w:trPr>
          <w:cantSplit/>
          <w:jc w:val="center"/>
        </w:trPr>
        <w:tc>
          <w:tcPr>
            <w:tcW w:w="6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55" w:rsidRPr="00953B55" w:rsidRDefault="00953B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55" w:rsidRPr="00953B55" w:rsidRDefault="00953B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53B5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11FBF" w:rsidRDefault="00711FBF"/>
    <w:sectPr w:rsidR="00711FBF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A3E" w:rsidRDefault="005C1A3E">
      <w:pPr>
        <w:spacing w:after="0" w:line="240" w:lineRule="auto"/>
      </w:pPr>
      <w:r>
        <w:separator/>
      </w:r>
    </w:p>
  </w:endnote>
  <w:endnote w:type="continuationSeparator" w:id="0">
    <w:p w:rsidR="005C1A3E" w:rsidRDefault="005C1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FBF" w:rsidRDefault="002D764F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81069B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A3E" w:rsidRDefault="005C1A3E">
      <w:pPr>
        <w:spacing w:after="0" w:line="240" w:lineRule="auto"/>
      </w:pPr>
      <w:r>
        <w:separator/>
      </w:r>
    </w:p>
  </w:footnote>
  <w:footnote w:type="continuationSeparator" w:id="0">
    <w:p w:rsidR="005C1A3E" w:rsidRDefault="005C1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7E19"/>
    <w:multiLevelType w:val="multilevel"/>
    <w:tmpl w:val="D6B6A55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CDE2AED"/>
    <w:multiLevelType w:val="multilevel"/>
    <w:tmpl w:val="10D060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D8C2881"/>
    <w:multiLevelType w:val="multilevel"/>
    <w:tmpl w:val="207EDD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FBF"/>
    <w:rsid w:val="00115720"/>
    <w:rsid w:val="002B76DD"/>
    <w:rsid w:val="002D764F"/>
    <w:rsid w:val="00302AF9"/>
    <w:rsid w:val="004925DB"/>
    <w:rsid w:val="004D7963"/>
    <w:rsid w:val="00532760"/>
    <w:rsid w:val="005C1A3E"/>
    <w:rsid w:val="0068049A"/>
    <w:rsid w:val="006A7156"/>
    <w:rsid w:val="006E1AC5"/>
    <w:rsid w:val="00711FBF"/>
    <w:rsid w:val="0081069B"/>
    <w:rsid w:val="00953B55"/>
    <w:rsid w:val="00B1054B"/>
    <w:rsid w:val="00CD7678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2AB958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3567"/>
    <w:pPr>
      <w:spacing w:after="200" w:line="276" w:lineRule="auto"/>
    </w:pPr>
    <w:rPr>
      <w:rFonts w:ascii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35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4D3567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4D3567"/>
    <w:rPr>
      <w:rFonts w:ascii="Times New Roman" w:eastAsia="Calibri" w:hAnsi="Times New Roman" w:cs="Times New Roman"/>
      <w:b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4D35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3567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qFormat/>
    <w:rsid w:val="004D3567"/>
  </w:style>
  <w:style w:type="character" w:customStyle="1" w:styleId="FontStyle16">
    <w:name w:val="Font Style16"/>
    <w:uiPriority w:val="99"/>
    <w:qFormat/>
    <w:rsid w:val="004D3567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D3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3567"/>
    <w:rPr>
      <w:rFonts w:ascii="Tahoma" w:eastAsia="Calibri" w:hAnsi="Tahoma" w:cs="Tahoma"/>
      <w:sz w:val="16"/>
      <w:szCs w:val="16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4D3567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D3567"/>
    <w:rPr>
      <w:rFonts w:ascii="Tahoma" w:eastAsia="Calibri" w:hAnsi="Tahoma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D3567"/>
    <w:pPr>
      <w:tabs>
        <w:tab w:val="center" w:pos="4536"/>
        <w:tab w:val="right" w:pos="9072"/>
      </w:tabs>
    </w:pPr>
  </w:style>
  <w:style w:type="paragraph" w:customStyle="1" w:styleId="tekst">
    <w:name w:val="tekst"/>
    <w:qFormat/>
    <w:rsid w:val="004D3567"/>
    <w:pPr>
      <w:spacing w:before="40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4"/>
      <w:szCs w:val="20"/>
      <w:lang w:eastAsia="pl-PL"/>
    </w:rPr>
  </w:style>
  <w:style w:type="paragraph" w:customStyle="1" w:styleId="Punktygwne">
    <w:name w:val="Punkty główne"/>
    <w:basedOn w:val="Normalny"/>
    <w:qFormat/>
    <w:rsid w:val="004D356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4D356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4D356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4D356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4D3567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4D356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4D356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4D3567"/>
    <w:pPr>
      <w:jc w:val="center"/>
    </w:pPr>
  </w:style>
  <w:style w:type="paragraph" w:customStyle="1" w:styleId="rdtytu">
    <w:name w:val="Śródtytuł"/>
    <w:basedOn w:val="Nagwek1"/>
    <w:qFormat/>
    <w:rsid w:val="004D3567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qFormat/>
    <w:rsid w:val="004D3567"/>
    <w:pPr>
      <w:spacing w:before="120" w:after="0" w:line="240" w:lineRule="auto"/>
    </w:pPr>
    <w:rPr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35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rubrycemn">
    <w:name w:val="w rubryce mn."/>
    <w:basedOn w:val="Tekstpodstawowy"/>
    <w:qFormat/>
    <w:rsid w:val="00183E59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Akapitzlist">
    <w:name w:val="List Paragraph"/>
    <w:basedOn w:val="Normalny"/>
    <w:uiPriority w:val="34"/>
    <w:qFormat/>
    <w:rsid w:val="00387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https://wu.wsiz.rzeszow.pl/wunet/grafika/logo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1249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WSIiZ</dc:creator>
  <dc:description/>
  <cp:lastModifiedBy>Małgorzata Leśniowska-Gontarz</cp:lastModifiedBy>
  <cp:revision>22</cp:revision>
  <dcterms:created xsi:type="dcterms:W3CDTF">2018-05-09T13:58:00Z</dcterms:created>
  <dcterms:modified xsi:type="dcterms:W3CDTF">2022-05-31T10:12:00Z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