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1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2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mgr </w:t>
            </w:r>
            <w:r w:rsidR="00611CE5">
              <w:rPr>
                <w:rFonts w:ascii="Tahoma" w:hAnsi="Tahoma" w:cs="Tahoma"/>
                <w:b w:val="0"/>
              </w:rPr>
              <w:t>Patrycja Trojnar</w:t>
            </w:r>
            <w:bookmarkStart w:id="0" w:name="_GoBack"/>
            <w:bookmarkEnd w:id="0"/>
          </w:p>
        </w:tc>
      </w:tr>
      <w:tr w:rsidR="005D7EAA" w:rsidRPr="007B3A32" w:rsidTr="00E64F4D">
        <w:tc>
          <w:tcPr>
            <w:tcW w:w="9781" w:type="dxa"/>
            <w:gridSpan w:val="2"/>
            <w:vAlign w:val="center"/>
          </w:tcPr>
          <w:p w:rsidR="005D7EAA" w:rsidRPr="007B3A32" w:rsidRDefault="005D7EA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611CE5" w:rsidTr="00DD0E28">
        <w:tc>
          <w:tcPr>
            <w:tcW w:w="9776" w:type="dxa"/>
          </w:tcPr>
          <w:p w:rsidR="00B82835" w:rsidRPr="00611CE5" w:rsidRDefault="00524208" w:rsidP="0052420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11CE5">
              <w:rPr>
                <w:rFonts w:ascii="Tahoma" w:hAnsi="Tahoma" w:cs="Tahoma"/>
                <w:b w:val="0"/>
                <w:lang w:val="en-US"/>
              </w:rPr>
              <w:t>Sign Languages/ Hill Joseph c.- Taylor &amp; Francis Ltd; 2018</w:t>
            </w:r>
          </w:p>
        </w:tc>
      </w:tr>
    </w:tbl>
    <w:p w:rsidR="00FC1BE5" w:rsidRPr="00611C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611CE5" w:rsidTr="009533CE">
        <w:tc>
          <w:tcPr>
            <w:tcW w:w="9776" w:type="dxa"/>
          </w:tcPr>
          <w:p w:rsidR="00AF4CC9" w:rsidRPr="00611CE5" w:rsidRDefault="00524208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611CE5">
              <w:rPr>
                <w:rFonts w:ascii="Tahoma" w:hAnsi="Tahoma" w:cs="Tahoma"/>
                <w:b w:val="0"/>
                <w:lang w:val="en-US"/>
              </w:rPr>
              <w:t xml:space="preserve">Barron's American Sign Language: A Comprehensive Guide to ASL 1 and 2 with Online Video Practice/ Stewart David A. – </w:t>
            </w:r>
            <w:proofErr w:type="spellStart"/>
            <w:r w:rsidRPr="00611CE5">
              <w:rPr>
                <w:rFonts w:ascii="Tahoma" w:hAnsi="Tahoma" w:cs="Tahoma"/>
                <w:b w:val="0"/>
                <w:lang w:val="en-US"/>
              </w:rPr>
              <w:t>Barrons</w:t>
            </w:r>
            <w:proofErr w:type="spellEnd"/>
            <w:r w:rsidRPr="00611CE5">
              <w:rPr>
                <w:rFonts w:ascii="Tahoma" w:hAnsi="Tahoma" w:cs="Tahoma"/>
                <w:b w:val="0"/>
                <w:lang w:val="en-US"/>
              </w:rPr>
              <w:t xml:space="preserve"> Education Series; 2021</w:t>
            </w:r>
          </w:p>
        </w:tc>
      </w:tr>
    </w:tbl>
    <w:p w:rsidR="006863F4" w:rsidRPr="00611CE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11CE5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264" w:rsidRDefault="00C07264">
      <w:r>
        <w:separator/>
      </w:r>
    </w:p>
  </w:endnote>
  <w:endnote w:type="continuationSeparator" w:id="0">
    <w:p w:rsidR="00C07264" w:rsidRDefault="00C0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264" w:rsidRDefault="00C07264">
      <w:r>
        <w:separator/>
      </w:r>
    </w:p>
  </w:footnote>
  <w:footnote w:type="continuationSeparator" w:id="0">
    <w:p w:rsidR="00C07264" w:rsidRDefault="00C0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0726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3A52"/>
    <w:rsid w:val="00136C71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208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5D7EAA"/>
    <w:rsid w:val="00603431"/>
    <w:rsid w:val="00606392"/>
    <w:rsid w:val="00611CE5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23E8"/>
    <w:rsid w:val="006E4E0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07264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0FFADEF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AD987-CBA3-429E-99B8-251B257B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28</cp:revision>
  <cp:lastPrinted>2019-06-05T11:04:00Z</cp:lastPrinted>
  <dcterms:created xsi:type="dcterms:W3CDTF">2020-02-12T18:16:00Z</dcterms:created>
  <dcterms:modified xsi:type="dcterms:W3CDTF">2023-06-19T10:58:00Z</dcterms:modified>
</cp:coreProperties>
</file>