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3751A8" w:rsidRPr="00B158DC" w:rsidRDefault="003751A8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ryzykiem w logistyce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E05AF2" w:rsidRPr="004D1D3A" w:rsidTr="00E05AF2">
        <w:tc>
          <w:tcPr>
            <w:tcW w:w="2410" w:type="dxa"/>
            <w:vAlign w:val="center"/>
          </w:tcPr>
          <w:p w:rsidR="00E05AF2" w:rsidRPr="004D1D3A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E05AF2" w:rsidRPr="004D1D3A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05AF2" w:rsidRPr="00B158DC" w:rsidTr="00E05AF2">
        <w:tc>
          <w:tcPr>
            <w:tcW w:w="2410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05AF2" w:rsidRPr="00B158DC" w:rsidRDefault="00E05AF2" w:rsidP="00C308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9F35E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E05AF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odstawy logistyki</w:t>
            </w:r>
            <w:r w:rsidR="008B09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Logistyka i zarządzanie łańcuchem dostaw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B0912" w:rsidRDefault="00721413" w:rsidP="003E56F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lang w:eastAsia="en-US"/>
              </w:rPr>
            </w:pPr>
            <w:r w:rsidRPr="008B0912">
              <w:rPr>
                <w:rFonts w:ascii="Tahoma" w:eastAsia="Calibri" w:hAnsi="Tahoma" w:cs="Tahoma"/>
                <w:b w:val="0"/>
                <w:lang w:eastAsia="en-US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B0912" w:rsidRDefault="008B0912" w:rsidP="003E56F9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>Z</w:t>
            </w:r>
            <w:r w:rsidR="00DA0BC9" w:rsidRPr="008B0912">
              <w:rPr>
                <w:rFonts w:ascii="Tahoma" w:eastAsia="Calibri" w:hAnsi="Tahoma" w:cs="Tahoma"/>
                <w:b w:val="0"/>
                <w:lang w:eastAsia="en-US"/>
              </w:rPr>
              <w:t>apoznanie studentów z problematyką ryzyka w logistyce i jego wpływem na efektywność funkcjonowania systemów logistycznych</w:t>
            </w:r>
          </w:p>
        </w:tc>
      </w:tr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B0912" w:rsidRDefault="00721413" w:rsidP="003E56F9">
            <w:pPr>
              <w:pStyle w:val="Nagwkitablic"/>
              <w:spacing w:before="40" w:after="40"/>
              <w:rPr>
                <w:rFonts w:ascii="Tahoma" w:eastAsia="Calibri" w:hAnsi="Tahoma" w:cs="Tahoma"/>
                <w:b w:val="0"/>
                <w:lang w:eastAsia="en-US"/>
              </w:rPr>
            </w:pPr>
            <w:r w:rsidRPr="008B0912">
              <w:rPr>
                <w:rFonts w:ascii="Tahoma" w:eastAsia="Calibri" w:hAnsi="Tahoma" w:cs="Tahoma"/>
                <w:b w:val="0"/>
                <w:lang w:eastAsia="en-US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B0912" w:rsidRDefault="008B0912" w:rsidP="009812DF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lang w:eastAsia="en-US"/>
              </w:rPr>
              <w:t>K</w:t>
            </w:r>
            <w:r w:rsidR="009812DF" w:rsidRPr="008B0912">
              <w:rPr>
                <w:rFonts w:ascii="Tahoma" w:eastAsia="Calibri" w:hAnsi="Tahoma" w:cs="Tahoma"/>
                <w:b w:val="0"/>
                <w:lang w:eastAsia="en-US"/>
              </w:rPr>
              <w:t>ształtowanie umiejętności podejmowania decyzji w zakresie ograniczenia ryzyka przy wykorzystaniu różnych źródeł ifnformacji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3751A8" w:rsidRPr="00B158DC" w:rsidRDefault="003751A8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0912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8B0912" w:rsidRDefault="00C30817" w:rsidP="00C3081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B0912">
              <w:rPr>
                <w:rFonts w:ascii="Tahoma" w:hAnsi="Tahoma" w:cs="Tahoma"/>
                <w:sz w:val="20"/>
                <w:szCs w:val="20"/>
              </w:rPr>
              <w:t xml:space="preserve">ma niezbędną wiedzę pomocną w podejmowaniu decyzji menedżerskich, w tym w szczególności w zakresie </w:t>
            </w:r>
            <w:r w:rsidR="00740DEC" w:rsidRPr="008B0912">
              <w:rPr>
                <w:rFonts w:ascii="Tahoma" w:hAnsi="Tahoma" w:cs="Tahoma"/>
                <w:sz w:val="20"/>
                <w:szCs w:val="20"/>
              </w:rPr>
              <w:t>wewnętrznych i zewnętrznych źródeł informacji w organizacji</w:t>
            </w:r>
          </w:p>
        </w:tc>
        <w:tc>
          <w:tcPr>
            <w:tcW w:w="1785" w:type="dxa"/>
            <w:vAlign w:val="center"/>
          </w:tcPr>
          <w:p w:rsidR="00B21019" w:rsidRPr="004D1D3A" w:rsidRDefault="00C3081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K_W06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B0912" w:rsidRDefault="008938C7" w:rsidP="0063007E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 xml:space="preserve">Po zaliczeniu przedmiotu student w zakresie umiejętności 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0912" w:rsidRDefault="00B21019" w:rsidP="00A02A52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8B0912" w:rsidRDefault="00C30817" w:rsidP="0063007E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umie przeprowadzać analizę wielokryterialną i ocenić według wyodrębnionych kryteriów systemowych sytuację problemową w warunkach pewności i ryzyka</w:t>
            </w:r>
          </w:p>
        </w:tc>
        <w:tc>
          <w:tcPr>
            <w:tcW w:w="1785" w:type="dxa"/>
            <w:vAlign w:val="center"/>
          </w:tcPr>
          <w:p w:rsidR="00B21019" w:rsidRPr="00B158DC" w:rsidRDefault="00C3081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K_U04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B0912" w:rsidRDefault="008938C7" w:rsidP="00DB3A5B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 xml:space="preserve">Po zaliczeniu przedmiotu student w zakresie kompetencji społecznych 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B0912" w:rsidRDefault="00B21019" w:rsidP="00A02A52">
            <w:pPr>
              <w:pStyle w:val="centralniewrubryce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8B0912" w:rsidRDefault="00C30817" w:rsidP="0063007E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8B0912">
              <w:rPr>
                <w:rFonts w:ascii="Tahoma" w:eastAsia="Calibri" w:hAnsi="Tahoma" w:cs="Tahoma"/>
                <w:lang w:eastAsia="en-US"/>
              </w:rPr>
              <w:t>potrafi odpowiednio określić priorytety służące realizacji określonego przez siebie i innych zadania</w:t>
            </w:r>
          </w:p>
        </w:tc>
        <w:tc>
          <w:tcPr>
            <w:tcW w:w="1785" w:type="dxa"/>
            <w:vAlign w:val="center"/>
          </w:tcPr>
          <w:p w:rsidR="00B21019" w:rsidRPr="00B158DC" w:rsidRDefault="00C3081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30817">
              <w:rPr>
                <w:rFonts w:ascii="Calibri" w:hAnsi="Calibri" w:cs="Calibri"/>
                <w:sz w:val="22"/>
              </w:rPr>
              <w:t>K_K04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E05A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vAlign w:val="center"/>
          </w:tcPr>
          <w:p w:rsidR="006A46E0" w:rsidRPr="00B158DC" w:rsidRDefault="009F35ED" w:rsidP="008B091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podający. Prowadzący przedstawia z</w:t>
            </w:r>
            <w:r w:rsidR="00DA0BC9">
              <w:rPr>
                <w:rFonts w:ascii="Tahoma" w:hAnsi="Tahoma" w:cs="Tahoma"/>
                <w:b w:val="0"/>
              </w:rPr>
              <w:t xml:space="preserve">agadnienia teoretyczne dot. </w:t>
            </w:r>
            <w:r w:rsidR="00FB3D1D">
              <w:rPr>
                <w:rFonts w:ascii="Tahoma" w:hAnsi="Tahoma" w:cs="Tahoma"/>
                <w:b w:val="0"/>
              </w:rPr>
              <w:t>ryzyka w łańcuchach dost</w:t>
            </w:r>
            <w:r>
              <w:rPr>
                <w:rFonts w:ascii="Tahoma" w:hAnsi="Tahoma" w:cs="Tahoma"/>
                <w:b w:val="0"/>
              </w:rPr>
              <w:t>aw, później odbywa się dyskusja ze studentami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6A46E0" w:rsidRPr="00B158DC" w:rsidRDefault="00860723" w:rsidP="008B091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samodzielnie i w grupach rozwiązując zadania praktyczne oparte na case </w:t>
            </w:r>
            <w:r w:rsidR="00DA0BC9">
              <w:rPr>
                <w:rFonts w:ascii="Tahoma" w:hAnsi="Tahoma" w:cs="Tahoma"/>
                <w:b w:val="0"/>
              </w:rPr>
              <w:t>study</w:t>
            </w:r>
          </w:p>
        </w:tc>
      </w:tr>
      <w:tr w:rsidR="006A46E0" w:rsidRPr="00B158DC" w:rsidTr="00FB3D1D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shd w:val="clear" w:color="auto" w:fill="auto"/>
            <w:vAlign w:val="center"/>
          </w:tcPr>
          <w:p w:rsidR="006A46E0" w:rsidRPr="00B158DC" w:rsidRDefault="00FB3D1D" w:rsidP="008B091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FB3D1D">
              <w:rPr>
                <w:rFonts w:ascii="Tahoma" w:hAnsi="Tahoma" w:cs="Tahoma"/>
                <w:b w:val="0"/>
              </w:rPr>
              <w:t>Na podstawie zgromadzonych danych z działalności wybranego przedsiębiorstwa (statystyki, sprawozdania itd.) studenci powinni zidentyfikować potencjalne źródło wystąpienia ryzyka w jednym z ogniw łańcucha dostaw, oszacować dane ryzyko, sporządzić kartę ryzyka oraz a) opracować sposoby ograniczenia możliwości wystąpienia ryzyka lub b)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 w:rsidRPr="00FB3D1D">
              <w:rPr>
                <w:rFonts w:ascii="Tahoma" w:hAnsi="Tahoma" w:cs="Tahoma"/>
                <w:b w:val="0"/>
              </w:rPr>
              <w:t>zakładając, że ryzyko spowodowało realne negatywne skutki dla firmy opracować plan naprawczy</w:t>
            </w:r>
            <w:r w:rsidR="000B6036">
              <w:rPr>
                <w:rFonts w:ascii="Tahoma" w:hAnsi="Tahoma" w:cs="Tahoma"/>
                <w:b w:val="0"/>
              </w:rPr>
              <w:t>. Projekt realizowany w grupach</w:t>
            </w:r>
          </w:p>
        </w:tc>
      </w:tr>
    </w:tbl>
    <w:p w:rsidR="003751A8" w:rsidRDefault="003751A8" w:rsidP="003751A8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B158DC" w:rsidRDefault="00DA0B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Klasyfikacja ryzyka w łańcuchach dostaw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B158DC" w:rsidRDefault="00DA0B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pomiaru i szacowania ryzyka w logistyce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B158DC" w:rsidRDefault="00DA0B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kryzysowe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DA0B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B158DC" w:rsidRDefault="00DA0B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Czynniki ryzyka w systemach logistycznych</w:t>
            </w:r>
          </w:p>
        </w:tc>
      </w:tr>
      <w:tr w:rsidR="00DA0BC9" w:rsidRPr="00B158DC" w:rsidTr="009146BE">
        <w:tc>
          <w:tcPr>
            <w:tcW w:w="568" w:type="dxa"/>
            <w:vAlign w:val="center"/>
          </w:tcPr>
          <w:p w:rsidR="00DA0BC9" w:rsidRDefault="00DA0B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A0BC9" w:rsidRDefault="00DA0B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ryzykiem w ujęciu normatywnym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B158DC" w:rsidRDefault="00B646F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Identyfikacja czynników ryzyka w przedsiębiorstwie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B158DC" w:rsidRDefault="00B646F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Szacowanie ryzyka</w:t>
            </w:r>
          </w:p>
        </w:tc>
      </w:tr>
      <w:tr w:rsidR="00B646F6" w:rsidRPr="00B158DC" w:rsidTr="00A65076">
        <w:tc>
          <w:tcPr>
            <w:tcW w:w="568" w:type="dxa"/>
            <w:vAlign w:val="center"/>
          </w:tcPr>
          <w:p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B646F6" w:rsidRPr="00B158DC" w:rsidRDefault="00B646F6" w:rsidP="007854B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ryzykiem, karta ryzyka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646F6" w:rsidRPr="00B158DC" w:rsidTr="00786A38">
        <w:tc>
          <w:tcPr>
            <w:tcW w:w="568" w:type="dxa"/>
            <w:vAlign w:val="center"/>
          </w:tcPr>
          <w:p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B646F6" w:rsidRPr="00B158DC" w:rsidRDefault="00B646F6" w:rsidP="00F06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wybranego przedsiębiorstwa, dyskusja</w:t>
            </w:r>
          </w:p>
        </w:tc>
      </w:tr>
      <w:tr w:rsidR="00B646F6" w:rsidRPr="00B158DC" w:rsidTr="00786A38">
        <w:tc>
          <w:tcPr>
            <w:tcW w:w="568" w:type="dxa"/>
            <w:vAlign w:val="center"/>
          </w:tcPr>
          <w:p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B646F6" w:rsidRPr="00B158DC" w:rsidRDefault="00B646F6" w:rsidP="00B646F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zagadnień dot. ryzyka w wybranym przedsiębiorstwie, dyskusja</w:t>
            </w:r>
          </w:p>
        </w:tc>
      </w:tr>
      <w:tr w:rsidR="00B646F6" w:rsidRPr="00B158DC" w:rsidTr="00786A38">
        <w:tc>
          <w:tcPr>
            <w:tcW w:w="568" w:type="dxa"/>
            <w:vAlign w:val="center"/>
          </w:tcPr>
          <w:p w:rsidR="00B646F6" w:rsidRPr="00B158DC" w:rsidRDefault="00B646F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B646F6" w:rsidRPr="00B158DC" w:rsidRDefault="00B646F6" w:rsidP="00F066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projektu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:rsidTr="00EF48CF">
        <w:tc>
          <w:tcPr>
            <w:tcW w:w="3220" w:type="dxa"/>
            <w:vAlign w:val="center"/>
          </w:tcPr>
          <w:p w:rsidR="00721413" w:rsidRPr="00E05AF2" w:rsidRDefault="00E05AF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W1-W5</w:t>
            </w:r>
          </w:p>
        </w:tc>
      </w:tr>
      <w:tr w:rsidR="004D1D3A" w:rsidRPr="004D1D3A" w:rsidTr="00EF48CF">
        <w:tc>
          <w:tcPr>
            <w:tcW w:w="3220" w:type="dxa"/>
            <w:vAlign w:val="center"/>
          </w:tcPr>
          <w:p w:rsidR="00721413" w:rsidRPr="00E05AF2" w:rsidRDefault="00E05AF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Cw3</w:t>
            </w:r>
          </w:p>
        </w:tc>
      </w:tr>
      <w:tr w:rsidR="004D1D3A" w:rsidRPr="004D1D3A" w:rsidTr="00EF48CF">
        <w:tc>
          <w:tcPr>
            <w:tcW w:w="3220" w:type="dxa"/>
            <w:vAlign w:val="center"/>
          </w:tcPr>
          <w:p w:rsidR="00721413" w:rsidRPr="00E05AF2" w:rsidRDefault="00E05AF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1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721413" w:rsidRPr="004D1D3A" w:rsidRDefault="00B646F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</w:t>
            </w:r>
            <w:r w:rsidR="008B0912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P3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05AF2" w:rsidRPr="004D1D3A" w:rsidTr="000A1541">
        <w:tc>
          <w:tcPr>
            <w:tcW w:w="1418" w:type="dxa"/>
            <w:vAlign w:val="center"/>
          </w:tcPr>
          <w:p w:rsidR="00E05AF2" w:rsidRPr="00E05AF2" w:rsidRDefault="00E05AF2" w:rsidP="00F066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  <w:tc>
          <w:tcPr>
            <w:tcW w:w="3260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5AF2" w:rsidRPr="004D1D3A" w:rsidTr="000A1541">
        <w:tc>
          <w:tcPr>
            <w:tcW w:w="1418" w:type="dxa"/>
            <w:vAlign w:val="center"/>
          </w:tcPr>
          <w:p w:rsidR="00E05AF2" w:rsidRPr="00E05AF2" w:rsidRDefault="00E05AF2" w:rsidP="00F066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05AF2" w:rsidRPr="004D1D3A" w:rsidTr="000A1541">
        <w:tc>
          <w:tcPr>
            <w:tcW w:w="1418" w:type="dxa"/>
            <w:vAlign w:val="center"/>
          </w:tcPr>
          <w:p w:rsidR="00E05AF2" w:rsidRPr="00E05AF2" w:rsidRDefault="00E05AF2" w:rsidP="00F0660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5AF2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E05AF2" w:rsidRPr="004D1D3A" w:rsidRDefault="0086072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3751A8" w:rsidRPr="004D1D3A" w:rsidRDefault="003751A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:rsidTr="00EF48CF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:rsidTr="005C1EEB">
        <w:trPr>
          <w:trHeight w:val="1125"/>
        </w:trPr>
        <w:tc>
          <w:tcPr>
            <w:tcW w:w="1418" w:type="dxa"/>
            <w:vAlign w:val="center"/>
          </w:tcPr>
          <w:p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4D1D3A" w:rsidRDefault="005C1EEB" w:rsidP="005C1EE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podstawowe rodzaje ryzykaw w łańcuchach dostaw oraz czynników ryzyka w systemach logistycznych</w:t>
            </w:r>
          </w:p>
        </w:tc>
        <w:tc>
          <w:tcPr>
            <w:tcW w:w="2127" w:type="dxa"/>
            <w:vAlign w:val="center"/>
          </w:tcPr>
          <w:p w:rsidR="008938C7" w:rsidRPr="004D1D3A" w:rsidRDefault="005C1EE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podstawowe rodzaje ryzykaw w łańcuchach dostaw oraz czynników ryzyka w systemach logistycznych</w:t>
            </w:r>
          </w:p>
        </w:tc>
        <w:tc>
          <w:tcPr>
            <w:tcW w:w="2126" w:type="dxa"/>
            <w:vAlign w:val="center"/>
          </w:tcPr>
          <w:p w:rsidR="008938C7" w:rsidRPr="004D1D3A" w:rsidRDefault="005C1EE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podstawowe rodzaje ryzykaw w łańcuchach dostaw oraz czynników ryzyka w systemach logistycznych,</w:t>
            </w:r>
            <w:r w:rsidR="003F3C14">
              <w:rPr>
                <w:rFonts w:ascii="Tahoma" w:hAnsi="Tahoma" w:cs="Tahoma"/>
                <w:b w:val="0"/>
                <w:sz w:val="18"/>
              </w:rPr>
              <w:t xml:space="preserve"> opisać</w:t>
            </w:r>
            <w:r>
              <w:rPr>
                <w:rFonts w:ascii="Tahoma" w:hAnsi="Tahoma" w:cs="Tahoma"/>
                <w:b w:val="0"/>
                <w:sz w:val="18"/>
              </w:rPr>
              <w:t xml:space="preserve"> metody szacowania ryzyka</w:t>
            </w:r>
          </w:p>
        </w:tc>
        <w:tc>
          <w:tcPr>
            <w:tcW w:w="2051" w:type="dxa"/>
            <w:vAlign w:val="center"/>
          </w:tcPr>
          <w:p w:rsidR="008938C7" w:rsidRPr="004D1D3A" w:rsidRDefault="005C1EE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podstawowe rodzaje ryzykaw w łańcuchach dostaw oraz czynników ryzyka w systemach logistycznych,</w:t>
            </w:r>
            <w:r w:rsidR="003F3C14">
              <w:rPr>
                <w:rFonts w:ascii="Tahoma" w:hAnsi="Tahoma" w:cs="Tahoma"/>
                <w:b w:val="0"/>
                <w:sz w:val="18"/>
              </w:rPr>
              <w:t xml:space="preserve"> opisać</w:t>
            </w:r>
            <w:r>
              <w:rPr>
                <w:rFonts w:ascii="Tahoma" w:hAnsi="Tahoma" w:cs="Tahoma"/>
                <w:b w:val="0"/>
                <w:sz w:val="18"/>
              </w:rPr>
              <w:t xml:space="preserve"> metody szacowania ryzyka</w:t>
            </w:r>
            <w:r w:rsidR="003F3C14">
              <w:rPr>
                <w:rFonts w:ascii="Tahoma" w:hAnsi="Tahoma" w:cs="Tahoma"/>
                <w:b w:val="0"/>
                <w:sz w:val="18"/>
              </w:rPr>
              <w:t xml:space="preserve"> oraz </w:t>
            </w:r>
            <w:r>
              <w:rPr>
                <w:rFonts w:ascii="Tahoma" w:hAnsi="Tahoma" w:cs="Tahoma"/>
                <w:b w:val="0"/>
                <w:sz w:val="18"/>
              </w:rPr>
              <w:t>narzędzia zarządzania kryzysowego</w:t>
            </w:r>
          </w:p>
        </w:tc>
      </w:tr>
      <w:tr w:rsidR="00E05AF2" w:rsidRPr="00B158DC" w:rsidTr="009E68FE">
        <w:trPr>
          <w:trHeight w:val="1028"/>
        </w:trPr>
        <w:tc>
          <w:tcPr>
            <w:tcW w:w="1418" w:type="dxa"/>
            <w:vAlign w:val="center"/>
          </w:tcPr>
          <w:p w:rsidR="00E05AF2" w:rsidRPr="00B158DC" w:rsidRDefault="00E05A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E05AF2" w:rsidRPr="00B158DC" w:rsidRDefault="005C1EEB" w:rsidP="009E68F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za pomocą znanych narzędzi </w:t>
            </w:r>
            <w:r w:rsidR="009E68FE">
              <w:rPr>
                <w:rFonts w:ascii="Tahoma" w:hAnsi="Tahoma" w:cs="Tahoma"/>
                <w:b w:val="0"/>
                <w:sz w:val="18"/>
              </w:rPr>
              <w:t>określić</w:t>
            </w:r>
            <w:r w:rsidR="00EC40EA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9E68FE">
              <w:rPr>
                <w:rFonts w:ascii="Tahoma" w:hAnsi="Tahoma" w:cs="Tahoma"/>
                <w:b w:val="0"/>
                <w:sz w:val="18"/>
              </w:rPr>
              <w:t>stopień ryzyka w wybranym przedsiębiorstwie</w:t>
            </w:r>
          </w:p>
        </w:tc>
        <w:tc>
          <w:tcPr>
            <w:tcW w:w="2127" w:type="dxa"/>
            <w:vAlign w:val="center"/>
          </w:tcPr>
          <w:p w:rsidR="00E05AF2" w:rsidRPr="00B158DC" w:rsidRDefault="009E68F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 pomocą znanych narzędzi określić stopień ryzyka w wybranym przedsiębiorstwie</w:t>
            </w:r>
          </w:p>
        </w:tc>
        <w:tc>
          <w:tcPr>
            <w:tcW w:w="2126" w:type="dxa"/>
            <w:vAlign w:val="center"/>
          </w:tcPr>
          <w:p w:rsidR="00E05AF2" w:rsidRPr="00B158DC" w:rsidRDefault="009E68FE" w:rsidP="00EC40E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określić stopień ryzyka w wybranym przedsiębiorstwie, </w:t>
            </w:r>
            <w:r w:rsidR="00EC40EA">
              <w:rPr>
                <w:rFonts w:ascii="Tahoma" w:hAnsi="Tahoma" w:cs="Tahoma"/>
                <w:b w:val="0"/>
                <w:sz w:val="18"/>
              </w:rPr>
              <w:t>stos</w:t>
            </w:r>
            <w:r w:rsidR="008B0912">
              <w:rPr>
                <w:rFonts w:ascii="Tahoma" w:hAnsi="Tahoma" w:cs="Tahoma"/>
                <w:b w:val="0"/>
                <w:sz w:val="18"/>
              </w:rPr>
              <w:t xml:space="preserve">ując różne </w:t>
            </w:r>
            <w:r w:rsidR="00EC40EA">
              <w:rPr>
                <w:rFonts w:ascii="Tahoma" w:hAnsi="Tahoma" w:cs="Tahoma"/>
                <w:b w:val="0"/>
                <w:sz w:val="18"/>
              </w:rPr>
              <w:t>metody zarządzania ryzykiem</w:t>
            </w:r>
          </w:p>
        </w:tc>
        <w:tc>
          <w:tcPr>
            <w:tcW w:w="2051" w:type="dxa"/>
            <w:vAlign w:val="center"/>
          </w:tcPr>
          <w:p w:rsidR="00E05AF2" w:rsidRPr="00B158DC" w:rsidRDefault="00EC40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określić stopień ryzyka w wybranym przedsiębiorstwie, stos</w:t>
            </w:r>
            <w:r w:rsidR="008B0912">
              <w:rPr>
                <w:rFonts w:ascii="Tahoma" w:hAnsi="Tahoma" w:cs="Tahoma"/>
                <w:b w:val="0"/>
                <w:sz w:val="18"/>
              </w:rPr>
              <w:t xml:space="preserve">ując różne </w:t>
            </w:r>
            <w:r>
              <w:rPr>
                <w:rFonts w:ascii="Tahoma" w:hAnsi="Tahoma" w:cs="Tahoma"/>
                <w:b w:val="0"/>
                <w:sz w:val="18"/>
              </w:rPr>
              <w:t>metody zarządzania ryzykiem, prognozować stopień ryzyka na podstawie dostępnych danych</w:t>
            </w:r>
          </w:p>
        </w:tc>
      </w:tr>
      <w:tr w:rsidR="00E05AF2" w:rsidRPr="00B158DC" w:rsidTr="00DB2993">
        <w:trPr>
          <w:trHeight w:val="1974"/>
        </w:trPr>
        <w:tc>
          <w:tcPr>
            <w:tcW w:w="1418" w:type="dxa"/>
            <w:vAlign w:val="center"/>
          </w:tcPr>
          <w:p w:rsidR="00E05AF2" w:rsidRPr="00B158DC" w:rsidRDefault="00E05A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05AF2" w:rsidRPr="00B158DC" w:rsidRDefault="009721A5" w:rsidP="009721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dokonać analizy danych z działalności wybranego przedsiębiorstwa oraz na podstawie tych danych określić potencjalne źródło ryzyka dla przedsiębiorstwa</w:t>
            </w:r>
            <w:r w:rsidR="00DB2993">
              <w:rPr>
                <w:rFonts w:ascii="Tahoma" w:hAnsi="Tahoma" w:cs="Tahoma"/>
                <w:b w:val="0"/>
                <w:sz w:val="18"/>
              </w:rPr>
              <w:t xml:space="preserve"> i oszacować ryzyko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05AF2" w:rsidRPr="00B158DC" w:rsidRDefault="009721A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dokonać analizy danych z działalności wybranego przedsiębiorstwa oraz na podstawie tych danych określić potencjalne źródło ryzyka dla przedsiębiorstwa</w:t>
            </w:r>
            <w:r w:rsidR="00DB2993">
              <w:rPr>
                <w:rFonts w:ascii="Tahoma" w:hAnsi="Tahoma" w:cs="Tahoma"/>
                <w:b w:val="0"/>
                <w:sz w:val="18"/>
              </w:rPr>
              <w:t xml:space="preserve"> i oszacować ryzyko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05AF2" w:rsidRPr="00B158DC" w:rsidRDefault="00DB299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na podstawie dostępnych danych i znanych narzędzi zidentyfikować ryzyko oraz oszacować go, sporządzić i przeanalizować kartę ryzyka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E05AF2" w:rsidRPr="00B158DC" w:rsidRDefault="00DB299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 pomocą znanych narzędzi zaproponować praktyczne rozwiązanie sytuacji problemowej, która jest spowodowana wystąpieniem ryzyka w wybranym przedsiębiorstwie</w:t>
            </w:r>
          </w:p>
        </w:tc>
      </w:tr>
    </w:tbl>
    <w:p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3751A8" w:rsidRPr="00B158DC" w:rsidRDefault="003751A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751A8" w:rsidTr="005B11FF">
        <w:tc>
          <w:tcPr>
            <w:tcW w:w="9776" w:type="dxa"/>
            <w:vAlign w:val="center"/>
          </w:tcPr>
          <w:p w:rsidR="00AB655E" w:rsidRPr="003751A8" w:rsidRDefault="008B0912" w:rsidP="008B091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3751A8">
              <w:rPr>
                <w:rFonts w:ascii="Tahoma" w:hAnsi="Tahoma" w:cs="Tahoma"/>
                <w:sz w:val="20"/>
                <w:szCs w:val="20"/>
              </w:rPr>
              <w:t>Damodaran</w:t>
            </w:r>
            <w:proofErr w:type="spellEnd"/>
            <w:r w:rsidRPr="003751A8">
              <w:rPr>
                <w:rFonts w:ascii="Tahoma" w:hAnsi="Tahoma" w:cs="Tahoma"/>
                <w:sz w:val="20"/>
                <w:szCs w:val="20"/>
              </w:rPr>
              <w:t xml:space="preserve"> A.2009. Ryzyko strategiczne. Podstawy zarządzania ryzykiem. </w:t>
            </w:r>
          </w:p>
        </w:tc>
      </w:tr>
      <w:tr w:rsidR="005B11FF" w:rsidRPr="003751A8" w:rsidTr="005B11FF">
        <w:tc>
          <w:tcPr>
            <w:tcW w:w="9776" w:type="dxa"/>
            <w:vAlign w:val="center"/>
          </w:tcPr>
          <w:p w:rsidR="005B11FF" w:rsidRPr="003751A8" w:rsidRDefault="008B0912" w:rsidP="008B091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Kaczmarek T.T.2010. Zarządzanie ryzykiem. Ujęcie interdyscyplinarne, </w:t>
            </w:r>
            <w:proofErr w:type="spellStart"/>
            <w:r w:rsidRPr="003751A8">
              <w:rPr>
                <w:rFonts w:ascii="Tahoma" w:hAnsi="Tahoma" w:cs="Tahoma"/>
                <w:sz w:val="20"/>
                <w:szCs w:val="20"/>
              </w:rPr>
              <w:t>Difin</w:t>
            </w:r>
            <w:proofErr w:type="spellEnd"/>
            <w:r w:rsidRPr="003751A8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8B0912" w:rsidRPr="003751A8" w:rsidTr="005B11FF">
        <w:tc>
          <w:tcPr>
            <w:tcW w:w="9776" w:type="dxa"/>
            <w:vAlign w:val="center"/>
          </w:tcPr>
          <w:p w:rsidR="008B0912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Wieteska G. 2011. Zarządzanie Ryzykiem W Łańcuchu Dostaw Na Rynku B2b, </w:t>
            </w:r>
            <w:proofErr w:type="spellStart"/>
            <w:r w:rsidRPr="003751A8">
              <w:rPr>
                <w:rFonts w:ascii="Tahoma" w:hAnsi="Tahoma" w:cs="Tahoma"/>
                <w:sz w:val="20"/>
                <w:szCs w:val="20"/>
              </w:rPr>
              <w:t>Difin</w:t>
            </w:r>
            <w:proofErr w:type="spellEnd"/>
            <w:r w:rsidRPr="003751A8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</w:tbl>
    <w:p w:rsidR="00FC1BE5" w:rsidRPr="003751A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3751A8" w:rsidTr="005B11FF">
        <w:tc>
          <w:tcPr>
            <w:tcW w:w="9776" w:type="dxa"/>
          </w:tcPr>
          <w:p w:rsidR="00AB655E" w:rsidRPr="003751A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751A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751A8" w:rsidTr="005B11FF">
        <w:tc>
          <w:tcPr>
            <w:tcW w:w="9776" w:type="dxa"/>
            <w:vAlign w:val="center"/>
          </w:tcPr>
          <w:p w:rsidR="00AB655E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751A8">
              <w:rPr>
                <w:rFonts w:ascii="Tahoma" w:hAnsi="Tahoma" w:cs="Tahoma"/>
                <w:sz w:val="20"/>
                <w:szCs w:val="20"/>
              </w:rPr>
              <w:t xml:space="preserve">Monkiewicz J., </w:t>
            </w:r>
            <w:proofErr w:type="spellStart"/>
            <w:r w:rsidRPr="003751A8">
              <w:rPr>
                <w:rFonts w:ascii="Tahoma" w:hAnsi="Tahoma" w:cs="Tahoma"/>
                <w:sz w:val="20"/>
                <w:szCs w:val="20"/>
              </w:rPr>
              <w:t>Gąsiorkiewicz</w:t>
            </w:r>
            <w:proofErr w:type="spellEnd"/>
            <w:r w:rsidRPr="003751A8">
              <w:rPr>
                <w:rFonts w:ascii="Tahoma" w:hAnsi="Tahoma" w:cs="Tahoma"/>
                <w:sz w:val="20"/>
                <w:szCs w:val="20"/>
              </w:rPr>
              <w:t xml:space="preserve"> L.2010: Zarządzanie ryzykiem działalności organizacji, C.H Beck.</w:t>
            </w:r>
          </w:p>
        </w:tc>
      </w:tr>
      <w:tr w:rsidR="008B0912" w:rsidRPr="003751A8" w:rsidTr="005B11FF">
        <w:tc>
          <w:tcPr>
            <w:tcW w:w="9776" w:type="dxa"/>
            <w:vAlign w:val="center"/>
          </w:tcPr>
          <w:p w:rsidR="008B0912" w:rsidRPr="003751A8" w:rsidRDefault="008B0912" w:rsidP="008B091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proofErr w:type="spellStart"/>
            <w:r w:rsidRPr="003751A8">
              <w:rPr>
                <w:rFonts w:ascii="Tahoma" w:hAnsi="Tahoma" w:cs="Tahoma"/>
                <w:sz w:val="20"/>
                <w:szCs w:val="20"/>
              </w:rPr>
              <w:t>Staniec</w:t>
            </w:r>
            <w:proofErr w:type="spellEnd"/>
            <w:r w:rsidRPr="003751A8">
              <w:rPr>
                <w:rFonts w:ascii="Tahoma" w:hAnsi="Tahoma" w:cs="Tahoma"/>
                <w:sz w:val="20"/>
                <w:szCs w:val="20"/>
              </w:rPr>
              <w:t xml:space="preserve"> I., </w:t>
            </w:r>
            <w:proofErr w:type="spellStart"/>
            <w:r w:rsidRPr="003751A8">
              <w:rPr>
                <w:rFonts w:ascii="Tahoma" w:hAnsi="Tahoma" w:cs="Tahoma"/>
                <w:sz w:val="20"/>
                <w:szCs w:val="20"/>
              </w:rPr>
              <w:t>Niedźwiecki-Zawiła</w:t>
            </w:r>
            <w:proofErr w:type="spellEnd"/>
            <w:r w:rsidRPr="003751A8">
              <w:rPr>
                <w:rFonts w:ascii="Tahoma" w:hAnsi="Tahoma" w:cs="Tahoma"/>
                <w:sz w:val="20"/>
                <w:szCs w:val="20"/>
              </w:rPr>
              <w:t xml:space="preserve"> J. 2010: Zarządzanie ryzykiem operacyjnym. Wydawnictwo C.H. Beck. 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1A8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3751A8" w:rsidRPr="00B158DC" w:rsidRDefault="003751A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</w:t>
            </w:r>
            <w:r w:rsidR="00EE3891"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1469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1469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1469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</w:t>
            </w:r>
            <w:r w:rsidR="00B1469E">
              <w:rPr>
                <w:color w:val="auto"/>
                <w:sz w:val="20"/>
                <w:szCs w:val="20"/>
              </w:rPr>
              <w:t>dzielne przygotowanie się do C</w:t>
            </w:r>
            <w:r w:rsidRPr="00A13FB4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1469E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</w:t>
            </w:r>
            <w:r w:rsidR="003751A8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B1469E">
              <w:rPr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3751A8">
              <w:rPr>
                <w:b/>
                <w:color w:val="auto"/>
                <w:sz w:val="20"/>
                <w:szCs w:val="20"/>
              </w:rPr>
              <w:t>00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B1469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3751A8">
              <w:rPr>
                <w:b/>
                <w:color w:val="auto"/>
                <w:sz w:val="20"/>
                <w:szCs w:val="20"/>
              </w:rPr>
              <w:t>00</w:t>
            </w:r>
            <w:bookmarkStart w:id="0" w:name="_GoBack"/>
            <w:bookmarkEnd w:id="0"/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A13FB4" w:rsidRPr="00A13FB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13FB4" w:rsidRDefault="003751A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A52" w:rsidRDefault="00534A52">
      <w:r>
        <w:separator/>
      </w:r>
    </w:p>
  </w:endnote>
  <w:endnote w:type="continuationSeparator" w:id="0">
    <w:p w:rsidR="00534A52" w:rsidRDefault="0053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B2993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9721A5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A52" w:rsidRDefault="00534A52">
      <w:r>
        <w:separator/>
      </w:r>
    </w:p>
  </w:footnote>
  <w:footnote w:type="continuationSeparator" w:id="0">
    <w:p w:rsidR="00534A52" w:rsidRDefault="00534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3751A8" w:rsidP="00731B10">
    <w:pPr>
      <w:pStyle w:val="Nagwek"/>
    </w:pPr>
    <w:r>
      <w:rPr>
        <w:noProof/>
      </w:rPr>
      <w:pict>
        <v:rect id="_x0000_i1025" alt="" style="width:478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B6036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0B9"/>
    <w:rsid w:val="00285CA1"/>
    <w:rsid w:val="00290EBA"/>
    <w:rsid w:val="00293E7C"/>
    <w:rsid w:val="002A249F"/>
    <w:rsid w:val="002A3A00"/>
    <w:rsid w:val="002D70D2"/>
    <w:rsid w:val="002E1BB3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751A8"/>
    <w:rsid w:val="0039645B"/>
    <w:rsid w:val="003973B8"/>
    <w:rsid w:val="003A3B72"/>
    <w:rsid w:val="003A5FF0"/>
    <w:rsid w:val="003D0B08"/>
    <w:rsid w:val="003D4003"/>
    <w:rsid w:val="003E1A8D"/>
    <w:rsid w:val="003E56F9"/>
    <w:rsid w:val="003F3C14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34A52"/>
    <w:rsid w:val="00546EAF"/>
    <w:rsid w:val="005807B4"/>
    <w:rsid w:val="00581858"/>
    <w:rsid w:val="005930A7"/>
    <w:rsid w:val="005955F9"/>
    <w:rsid w:val="005B11FF"/>
    <w:rsid w:val="005C1EEB"/>
    <w:rsid w:val="005C55D0"/>
    <w:rsid w:val="005D2001"/>
    <w:rsid w:val="00603431"/>
    <w:rsid w:val="00606392"/>
    <w:rsid w:val="00626EA3"/>
    <w:rsid w:val="0063007E"/>
    <w:rsid w:val="00641D09"/>
    <w:rsid w:val="00655F46"/>
    <w:rsid w:val="00660C57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0DEC"/>
    <w:rsid w:val="00741B8D"/>
    <w:rsid w:val="007461A1"/>
    <w:rsid w:val="00755AAB"/>
    <w:rsid w:val="007720A2"/>
    <w:rsid w:val="00776076"/>
    <w:rsid w:val="00786A38"/>
    <w:rsid w:val="00790329"/>
    <w:rsid w:val="00794F15"/>
    <w:rsid w:val="00795380"/>
    <w:rsid w:val="007A79F2"/>
    <w:rsid w:val="007C068F"/>
    <w:rsid w:val="007C675D"/>
    <w:rsid w:val="007D191E"/>
    <w:rsid w:val="007E4D57"/>
    <w:rsid w:val="007F07E6"/>
    <w:rsid w:val="007F2FF6"/>
    <w:rsid w:val="008046AE"/>
    <w:rsid w:val="0080542D"/>
    <w:rsid w:val="00814C3C"/>
    <w:rsid w:val="00846BE3"/>
    <w:rsid w:val="00847A73"/>
    <w:rsid w:val="00857E00"/>
    <w:rsid w:val="00860723"/>
    <w:rsid w:val="00877135"/>
    <w:rsid w:val="008938C7"/>
    <w:rsid w:val="008B0912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16E5"/>
    <w:rsid w:val="009458F5"/>
    <w:rsid w:val="00955477"/>
    <w:rsid w:val="009614FE"/>
    <w:rsid w:val="00964390"/>
    <w:rsid w:val="009721A5"/>
    <w:rsid w:val="009812DF"/>
    <w:rsid w:val="009A3FEE"/>
    <w:rsid w:val="009A43CE"/>
    <w:rsid w:val="009B4991"/>
    <w:rsid w:val="009C7640"/>
    <w:rsid w:val="009E09D8"/>
    <w:rsid w:val="009E68FE"/>
    <w:rsid w:val="009F35ED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469E"/>
    <w:rsid w:val="00B158DC"/>
    <w:rsid w:val="00B21019"/>
    <w:rsid w:val="00B339F5"/>
    <w:rsid w:val="00B46D91"/>
    <w:rsid w:val="00B46F30"/>
    <w:rsid w:val="00B60B0B"/>
    <w:rsid w:val="00B646F6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0817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A0BC9"/>
    <w:rsid w:val="00DB0142"/>
    <w:rsid w:val="00DB2993"/>
    <w:rsid w:val="00DB3A5B"/>
    <w:rsid w:val="00DB7026"/>
    <w:rsid w:val="00DD2ED3"/>
    <w:rsid w:val="00DE190F"/>
    <w:rsid w:val="00DF5C11"/>
    <w:rsid w:val="00E05AF2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C40EA"/>
    <w:rsid w:val="00EE1335"/>
    <w:rsid w:val="00EE3891"/>
    <w:rsid w:val="00EF48CF"/>
    <w:rsid w:val="00F00795"/>
    <w:rsid w:val="00F01879"/>
    <w:rsid w:val="00F03B30"/>
    <w:rsid w:val="00F128D3"/>
    <w:rsid w:val="00F133A5"/>
    <w:rsid w:val="00F139C0"/>
    <w:rsid w:val="00F201F9"/>
    <w:rsid w:val="00F23ABE"/>
    <w:rsid w:val="00F31E7C"/>
    <w:rsid w:val="00F4304E"/>
    <w:rsid w:val="00F469CC"/>
    <w:rsid w:val="00F52C2E"/>
    <w:rsid w:val="00F53F75"/>
    <w:rsid w:val="00F7453D"/>
    <w:rsid w:val="00FA09BD"/>
    <w:rsid w:val="00FA5FD5"/>
    <w:rsid w:val="00FB3D1D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6F999FB"/>
  <w15:docId w15:val="{1B2B730D-F64F-451D-BD6E-7F997F344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413B4-419E-42EA-91FB-9AA85896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958</Words>
  <Characters>5750</Characters>
  <Application>Microsoft Office Word</Application>
  <DocSecurity>4</DocSecurity>
  <Lines>47</Lines>
  <Paragraphs>13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2021-09-20T05:56:00Z</dcterms:created>
  <dcterms:modified xsi:type="dcterms:W3CDTF">2021-09-20T05:56:00Z</dcterms:modified>
</cp:coreProperties>
</file>