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D5752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A857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57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857B3" w:rsidRDefault="00A85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57B3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0D75A0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Pr="00DE7020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Leszek Bojarski, mgr </w:t>
            </w:r>
            <w:r w:rsidR="00FC532C">
              <w:rPr>
                <w:rFonts w:ascii="Tahoma" w:hAnsi="Tahoma" w:cs="Tahoma"/>
                <w:b w:val="0"/>
              </w:rPr>
              <w:t>Agnieszka Wanat</w:t>
            </w:r>
            <w:r>
              <w:rPr>
                <w:rFonts w:ascii="Tahoma" w:hAnsi="Tahoma" w:cs="Tahoma"/>
                <w:b w:val="0"/>
              </w:rPr>
              <w:t xml:space="preserve">, mgr Maria </w:t>
            </w:r>
            <w:proofErr w:type="spellStart"/>
            <w:r>
              <w:rPr>
                <w:rFonts w:ascii="Tahoma" w:hAnsi="Tahoma" w:cs="Tahoma"/>
                <w:b w:val="0"/>
              </w:rPr>
              <w:t>Rogoz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mgr Dorota </w:t>
            </w:r>
            <w:proofErr w:type="spellStart"/>
            <w:r>
              <w:rPr>
                <w:rFonts w:ascii="Tahoma" w:hAnsi="Tahoma" w:cs="Tahoma"/>
                <w:b w:val="0"/>
              </w:rPr>
              <w:t>Rogoz</w:t>
            </w:r>
            <w:bookmarkStart w:id="0" w:name="_GoBack"/>
            <w:bookmarkEnd w:id="0"/>
            <w:proofErr w:type="spellEnd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11"/>
        <w:gridCol w:w="8567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ED575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5F7FD1" w:rsidRPr="00DE7020" w:rsidTr="00B22C6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ED5752" w:rsidRPr="00DE7020" w:rsidTr="00ED57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5752" w:rsidRPr="00DE7020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ED5752" w:rsidRPr="00E64AD7" w:rsidTr="00ED575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535947" w:rsidRDefault="00ED5752" w:rsidP="00ED575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ED5752" w:rsidRDefault="00ED5752" w:rsidP="00ED5752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Pr="00DE7020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WP10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Pr="00DE7020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WP11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Udział pielęgniarki w przygotowaniu chorego do badań diagnostycznych, opieka nad pacjentem w trakcie i po badaniu. </w:t>
            </w:r>
          </w:p>
        </w:tc>
      </w:tr>
      <w:tr w:rsidR="00B22C69" w:rsidRPr="00DE7020" w:rsidTr="00635F6C">
        <w:tc>
          <w:tcPr>
            <w:tcW w:w="709" w:type="dxa"/>
            <w:vAlign w:val="center"/>
          </w:tcPr>
          <w:p w:rsidR="00B22C69" w:rsidRDefault="00B22C69" w:rsidP="00B22C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WP12</w:t>
            </w:r>
          </w:p>
        </w:tc>
        <w:tc>
          <w:tcPr>
            <w:tcW w:w="9072" w:type="dxa"/>
            <w:vAlign w:val="center"/>
          </w:tcPr>
          <w:p w:rsidR="00B22C69" w:rsidRPr="003B44AB" w:rsidRDefault="00B22C69" w:rsidP="00B22C6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lastRenderedPageBreak/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ED5752" w:rsidRDefault="00ED5752" w:rsidP="00ED575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WK1,WK3,WK6,WK7,eL3,eL5,Sk1,Sk4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WK3-WK4,WK6-WK7,WP3-WP12,eL3,eL5,Sk4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WK3,WK7,WP2-WP12,Sk4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eL6,Sk4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F7FD1" w:rsidRPr="00704D72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WK1,WK3,WK5,WK7,eL4,Sk4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WK3,WP5,WP6,WP8,Sk4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WK2,WP2,Sk4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WK3,WP5-WP6,WP8,Sk4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5F7FD1" w:rsidRPr="00FF117F" w:rsidTr="00B22C69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D1" w:rsidRDefault="005F7FD1" w:rsidP="005F7FD1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</w:t>
            </w:r>
            <w:r w:rsidR="002E57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D1" w:rsidRDefault="005F7FD1" w:rsidP="005F7FD1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WP12,SK2,Sk4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5251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ED5752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F7FD1" w:rsidRPr="00DE7020" w:rsidRDefault="005F7FD1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F7FD1" w:rsidRPr="00DE7020" w:rsidRDefault="005F7FD1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rPr>
          <w:trHeight w:val="58"/>
        </w:trPr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P_W08</w:t>
            </w:r>
          </w:p>
        </w:tc>
        <w:tc>
          <w:tcPr>
            <w:tcW w:w="5103" w:type="dxa"/>
            <w:vMerge/>
            <w:vAlign w:val="center"/>
          </w:tcPr>
          <w:p w:rsidR="005F7FD1" w:rsidRPr="00CB23D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5F7FD1" w:rsidRPr="001A53B4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F7FD1" w:rsidRPr="00DE7020" w:rsidTr="00DC1678">
        <w:tc>
          <w:tcPr>
            <w:tcW w:w="1418" w:type="dxa"/>
            <w:vAlign w:val="center"/>
          </w:tcPr>
          <w:p w:rsidR="005F7FD1" w:rsidRPr="00DE7020" w:rsidRDefault="005F7FD1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5103" w:type="dxa"/>
            <w:vMerge/>
          </w:tcPr>
          <w:p w:rsidR="005F7FD1" w:rsidRPr="00DE7020" w:rsidRDefault="005F7FD1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F7FD1" w:rsidRPr="00102DC3" w:rsidRDefault="005F7FD1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1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r w:rsidR="007A5D70">
        <w:rPr>
          <w:rFonts w:ascii="Tahoma" w:eastAsia="Times New Roman" w:hAnsi="Tahoma" w:cs="Tahoma"/>
          <w:bCs/>
          <w:sz w:val="20"/>
          <w:szCs w:val="20"/>
          <w:lang w:eastAsia="pl-PL"/>
        </w:rPr>
        <w:t>e-Learning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bookmarkEnd w:id="1"/>
    <w:p w:rsidR="00ED5752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D5752" w:rsidRDefault="00ED5752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zna i rozumie czynniki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60% zna i rozumie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76%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etiopatogenezę, objawy kliniczne, przebieg, leczenie, rokowanie i zasady opieki pielęgniarskiej nad pacjentami w wybranych chorobach.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rodzaje badań diagnostycznych i zasady ich zlecania.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705BDA" w:rsidRPr="005B1345" w:rsidTr="00290EBA">
        <w:tc>
          <w:tcPr>
            <w:tcW w:w="1418" w:type="dxa"/>
            <w:vAlign w:val="center"/>
          </w:tcPr>
          <w:p w:rsidR="00705BDA" w:rsidRPr="003F1747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w co najmniej 60% zna i rozumie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93% 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686D0E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60%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76% zna i rozumie zasady organizacji opieki specjalistycznej(geriatrycznej,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w co najmniej 93% zna i rozumie 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neurologicznej, psychiatrycznej, pediatrycznej, internistycznej, chirurgicznej, paliatywnej, długoterminowej oraz na bloku operacyjnym).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metody, techniki i narzędzia oceny stanu świadomości i przytomności.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zna i nie rozumie zasad obserwacji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60%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76%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 xml:space="preserve">Student w co najmniej 93% 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lastRenderedPageBreak/>
              <w:t>zasady obserwacji pacjenta po zabiegu operacyjnym, obejmującej monitorowanie w zakresie podstawowym i rozszerzonym.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P_W13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znieczulenia i zasady opieki nad pacjentem po znieczuleniu.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znieczulenia i zasady opieki nad pacjentem po znieczuleniu.</w:t>
            </w:r>
          </w:p>
        </w:tc>
      </w:tr>
      <w:tr w:rsidR="00705BDA" w:rsidRPr="00DE7020" w:rsidTr="00290EBA">
        <w:tc>
          <w:tcPr>
            <w:tcW w:w="1418" w:type="dxa"/>
            <w:vAlign w:val="center"/>
          </w:tcPr>
          <w:p w:rsidR="00705BDA" w:rsidRPr="00DE7020" w:rsidRDefault="00705BDA" w:rsidP="00705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P_W14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patofizjologii i objawów klinicznych chorób stanowiących zagrożenie dla życia (niewydolność oddechowa, niewydolność krążenia, niewydolność układu nerwowego, wstrząs, sepsa).</w:t>
            </w:r>
          </w:p>
        </w:tc>
        <w:tc>
          <w:tcPr>
            <w:tcW w:w="2127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2126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patofizjologię i objawy kliniczne chorób stanowiących zagrożenie dla życia (niewydolność oddechowa, niewydolność krążenia, niewydolność układu nerwowego,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metod i </w:t>
            </w:r>
            <w:proofErr w:type="spellStart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60% zna i rozumie metody i skale oceny bólu, poziomu sedacji oraz zaburzeń snu oraz stanów delirycznych u pacjentów w stanach zagrożenia życia.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76% zna i rozumie 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93% zna i rozumie metody i skale oceny bólu, poziomu sedacji oraz zaburzeń snu oraz stanów delirycznych u pacjentów w stanach zagrożenia życia.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705BDA" w:rsidRPr="00DE7020" w:rsidTr="00B22C6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Default="00705BDA" w:rsidP="00705BDA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w co najmniej 60% zasady profilaktyki powikłań związanych ze stosowaniem inwazyjnych technik diagnostycznych i terapeutycznych u pacjentów w stanie krytycznym.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BDA" w:rsidRPr="0061616A" w:rsidRDefault="00705BDA" w:rsidP="00705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 w:val="restart"/>
            <w:vAlign w:val="center"/>
          </w:tcPr>
          <w:p w:rsidR="00DC2C82" w:rsidRDefault="002B7EE4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7A5D70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7A5D70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A5D70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91E" w:rsidRDefault="0068591E">
      <w:r>
        <w:separator/>
      </w:r>
    </w:p>
  </w:endnote>
  <w:endnote w:type="continuationSeparator" w:id="0">
    <w:p w:rsidR="0068591E" w:rsidRDefault="0068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69" w:rsidRDefault="00B22C6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2C69" w:rsidRDefault="00B22C6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22C69" w:rsidRPr="005D2001" w:rsidRDefault="00B22C6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91E" w:rsidRDefault="0068591E">
      <w:r>
        <w:separator/>
      </w:r>
    </w:p>
  </w:footnote>
  <w:footnote w:type="continuationSeparator" w:id="0">
    <w:p w:rsidR="0068591E" w:rsidRDefault="00685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2C69" w:rsidRDefault="00B22C6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22C69" w:rsidRDefault="00496DD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62D4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5A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B7EE4"/>
    <w:rsid w:val="002C7E81"/>
    <w:rsid w:val="002D1FC9"/>
    <w:rsid w:val="002D4D7D"/>
    <w:rsid w:val="002D70D2"/>
    <w:rsid w:val="002E42B0"/>
    <w:rsid w:val="002E4838"/>
    <w:rsid w:val="002E57B9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16AA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6DD0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2519F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5F7FD1"/>
    <w:rsid w:val="00603431"/>
    <w:rsid w:val="00606392"/>
    <w:rsid w:val="0061616A"/>
    <w:rsid w:val="00625ADB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2D8A"/>
    <w:rsid w:val="00676A3F"/>
    <w:rsid w:val="00680BA2"/>
    <w:rsid w:val="0068349E"/>
    <w:rsid w:val="00684D54"/>
    <w:rsid w:val="0068591E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05BDA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5D70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043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857B3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22C69"/>
    <w:rsid w:val="00B339F5"/>
    <w:rsid w:val="00B46D91"/>
    <w:rsid w:val="00B46F30"/>
    <w:rsid w:val="00B56990"/>
    <w:rsid w:val="00B60B0B"/>
    <w:rsid w:val="00B65EFA"/>
    <w:rsid w:val="00B703A3"/>
    <w:rsid w:val="00B83F26"/>
    <w:rsid w:val="00B86C62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0CFC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0669"/>
    <w:rsid w:val="00ED2890"/>
    <w:rsid w:val="00ED5752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C532C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13EF26B7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8A829-8EA6-4C43-9CA6-1FE614EE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3545</Words>
  <Characters>21276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2021-02-12T20:30:00Z</cp:lastPrinted>
  <dcterms:created xsi:type="dcterms:W3CDTF">2023-03-20T14:02:00Z</dcterms:created>
  <dcterms:modified xsi:type="dcterms:W3CDTF">2023-06-27T20:04:00Z</dcterms:modified>
</cp:coreProperties>
</file>