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067198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A76EEB">
              <w:rPr>
                <w:rFonts w:ascii="Tahoma" w:hAnsi="Tahoma" w:cs="Tahoma"/>
                <w:b w:val="0"/>
              </w:rPr>
              <w:t>1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A76EEB">
              <w:rPr>
                <w:rFonts w:ascii="Tahoma" w:hAnsi="Tahoma" w:cs="Tahoma"/>
                <w:b w:val="0"/>
              </w:rPr>
              <w:t>2</w:t>
            </w:r>
            <w:r w:rsidR="00067198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AD75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Elżbieta Pyrkosz-Cifonelli,</w:t>
            </w:r>
            <w:r w:rsidRPr="004E1229">
              <w:rPr>
                <w:rFonts w:ascii="Tahoma" w:hAnsi="Tahoma" w:cs="Tahoma"/>
                <w:b w:val="0"/>
              </w:rPr>
              <w:t xml:space="preserve"> mgr </w:t>
            </w:r>
            <w:r w:rsidR="00062DC6">
              <w:rPr>
                <w:rFonts w:ascii="Tahoma" w:hAnsi="Tahoma" w:cs="Tahoma"/>
                <w:b w:val="0"/>
              </w:rPr>
              <w:t>Elżbieta Przyboś</w:t>
            </w:r>
            <w:bookmarkStart w:id="0" w:name="_GoBack"/>
            <w:bookmarkEnd w:id="0"/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8817"/>
      </w:tblGrid>
      <w:tr w:rsidR="00532617" w:rsidRPr="004E1229" w:rsidTr="0090628A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90628A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r w:rsidR="00502E16" w:rsidRPr="004E1229">
              <w:rPr>
                <w:rFonts w:ascii="Tahoma" w:hAnsi="Tahoma" w:cs="Tahoma"/>
                <w:b w:val="0"/>
              </w:rPr>
              <w:t xml:space="preserve">pielęgnacyjno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806FD" w:rsidRPr="007841EE" w:rsidTr="00DE1FA4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6FD" w:rsidRPr="007841EE" w:rsidRDefault="00A806FD" w:rsidP="00A806F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41EE">
              <w:rPr>
                <w:rFonts w:ascii="Tahoma" w:hAnsi="Tahoma" w:cs="Tahoma"/>
                <w:b w:val="0"/>
              </w:rPr>
              <w:t>C</w:t>
            </w:r>
            <w:r w:rsidR="007841EE" w:rsidRPr="007841E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6FD" w:rsidRPr="007841EE" w:rsidRDefault="00A806FD" w:rsidP="00A806F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41EE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B2B9F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lastRenderedPageBreak/>
              <w:t>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A64339" w:rsidRPr="007B2B9F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A64339" w:rsidRPr="007B2B9F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</w:t>
            </w:r>
            <w:r w:rsidR="000E598E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134"/>
        <w:gridCol w:w="1134"/>
        <w:gridCol w:w="1276"/>
        <w:gridCol w:w="1134"/>
        <w:gridCol w:w="1217"/>
        <w:gridCol w:w="1223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0671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543364" w:rsidRPr="004E1229" w:rsidRDefault="000671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43364" w:rsidRPr="004E1229" w:rsidRDefault="0006719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112534">
        <w:tc>
          <w:tcPr>
            <w:tcW w:w="2127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112534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ref</w:t>
            </w:r>
            <w:r w:rsidR="008B1BB7">
              <w:rPr>
                <w:rFonts w:ascii="Tahoma" w:hAnsi="Tahoma" w:cs="Tahoma"/>
                <w:b w:val="0"/>
              </w:rPr>
              <w:t>e</w:t>
            </w:r>
            <w:r>
              <w:rPr>
                <w:rFonts w:ascii="Tahoma" w:hAnsi="Tahoma" w:cs="Tahoma"/>
                <w:b w:val="0"/>
              </w:rPr>
              <w:t>ratu</w:t>
            </w:r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112534">
        <w:tc>
          <w:tcPr>
            <w:tcW w:w="2127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4E1229" w:rsidRDefault="00A3146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Zespół majaczeniowy u pacjentów geriatrycznych.</w:t>
            </w:r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osób starszych</w:t>
            </w:r>
            <w:r w:rsidR="008B1BB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  <w:tr w:rsidR="00DE7203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203" w:rsidRPr="004E1229" w:rsidRDefault="00DE7203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Diagnozowanie w pielęgniarstwie geriatrycznym – specyfika badania pacjenta w starszym wieku. 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F57D13" w:rsidRDefault="00F57D13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WP2,WP9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WP2-WP9,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WP2-WP8,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0E598E" w:rsidRPr="00702DC4" w:rsidTr="005B6F0E">
        <w:tc>
          <w:tcPr>
            <w:tcW w:w="3367" w:type="dxa"/>
            <w:vAlign w:val="center"/>
          </w:tcPr>
          <w:p w:rsidR="000E598E" w:rsidRPr="00CD2279" w:rsidRDefault="000E598E" w:rsidP="000E59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0E598E" w:rsidRPr="00C26884" w:rsidRDefault="000E598E" w:rsidP="000E598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7841E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0E598E" w:rsidRPr="00CD2279" w:rsidRDefault="000E598E" w:rsidP="000E598E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rPr>
          <w:trHeight w:val="320"/>
        </w:trPr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B050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7F143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E598E" w:rsidRPr="004E1229" w:rsidTr="002C65F4">
        <w:trPr>
          <w:trHeight w:val="320"/>
        </w:trPr>
        <w:tc>
          <w:tcPr>
            <w:tcW w:w="1418" w:type="dxa"/>
          </w:tcPr>
          <w:p w:rsidR="000E598E" w:rsidRPr="00503B09" w:rsidRDefault="000E598E" w:rsidP="000E598E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0E598E" w:rsidRPr="00503B09" w:rsidRDefault="000E598E" w:rsidP="000E598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0E598E" w:rsidRPr="00503B09" w:rsidRDefault="000E598E" w:rsidP="000E598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 ramach e-learningu</w:t>
      </w:r>
      <w:r w:rsidRPr="004E1229">
        <w:rPr>
          <w:rFonts w:ascii="Tahoma" w:hAnsi="Tahoma" w:cs="Tahoma"/>
          <w:b w:val="0"/>
          <w:bCs/>
          <w:sz w:val="20"/>
        </w:rPr>
        <w:t xml:space="preserve"> student jest zobowiązany do systematycznej pracy z kursem zamieszczonym na platformie </w:t>
      </w:r>
      <w:r w:rsidR="00F54C6E">
        <w:rPr>
          <w:rFonts w:ascii="Tahoma" w:hAnsi="Tahoma" w:cs="Tahoma"/>
          <w:b w:val="0"/>
          <w:bCs/>
          <w:sz w:val="20"/>
        </w:rPr>
        <w:t>e-Learning</w:t>
      </w:r>
      <w:r w:rsidR="00F519F1">
        <w:rPr>
          <w:rFonts w:ascii="Tahoma" w:hAnsi="Tahoma" w:cs="Tahoma"/>
          <w:b w:val="0"/>
          <w:bCs/>
          <w:sz w:val="20"/>
        </w:rPr>
        <w:t xml:space="preserve"> </w:t>
      </w:r>
      <w:r w:rsidR="00F519F1" w:rsidRPr="00F519F1">
        <w:rPr>
          <w:rFonts w:ascii="Tahoma" w:hAnsi="Tahoma" w:cs="Tahoma"/>
          <w:b w:val="0"/>
          <w:bCs/>
          <w:sz w:val="20"/>
        </w:rPr>
        <w:t>oraz zaliczenia każdego modułu kursu, tj. uzyskania wyniku minimum 80% z testu podsumowującego każdy z modułów kursu.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F269CD" w:rsidRDefault="00F269CD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spacing w:after="0" w:line="240" w:lineRule="auto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spacing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spacing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spacing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objawów klinicznych, 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60% etiopatogenezę, objawy kli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76% etiopatogenezę, objawy kli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93% etiopatogenezę, obja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 kliniczne, przebieg, leczenie, rokowanie i zasady opieki pielęgniarskiej nad pacjentami w wybranych chorobach.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0024A3" w:rsidRPr="004E1229" w:rsidTr="00F269CD">
        <w:tc>
          <w:tcPr>
            <w:tcW w:w="1418" w:type="dxa"/>
            <w:vAlign w:val="center"/>
          </w:tcPr>
          <w:p w:rsidR="000024A3" w:rsidRPr="00652785" w:rsidRDefault="000024A3" w:rsidP="002D781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0024A3" w:rsidRPr="00652785" w:rsidRDefault="000024A3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P_W10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F269CD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P_W12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B43F6E" w:rsidRPr="00652785" w:rsidTr="00F269CD">
        <w:trPr>
          <w:trHeight w:val="301"/>
        </w:trPr>
        <w:tc>
          <w:tcPr>
            <w:tcW w:w="1418" w:type="dxa"/>
            <w:vMerge w:val="restart"/>
            <w:vAlign w:val="center"/>
          </w:tcPr>
          <w:p w:rsidR="00B43F6E" w:rsidRPr="00652785" w:rsidRDefault="00F269CD" w:rsidP="000671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</w:t>
            </w:r>
            <w:r w:rsidR="000E598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B43F6E" w:rsidRPr="00652785" w:rsidTr="00F269CD">
        <w:tc>
          <w:tcPr>
            <w:tcW w:w="1418" w:type="dxa"/>
            <w:vMerge/>
            <w:vAlign w:val="center"/>
          </w:tcPr>
          <w:p w:rsidR="00B43F6E" w:rsidRPr="00652785" w:rsidRDefault="00B43F6E" w:rsidP="00067198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B43F6E" w:rsidRPr="00652785" w:rsidRDefault="00B43F6E" w:rsidP="00F269CD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F54C6E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F54C6E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F54C6E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lastRenderedPageBreak/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C60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141B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9D6" w:rsidRDefault="00D119D6">
      <w:r>
        <w:separator/>
      </w:r>
    </w:p>
  </w:endnote>
  <w:endnote w:type="continuationSeparator" w:id="0">
    <w:p w:rsidR="00D119D6" w:rsidRDefault="00D1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198" w:rsidRDefault="0006719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67198" w:rsidRDefault="0006719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67198" w:rsidRPr="005D2001" w:rsidRDefault="0006719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9D6" w:rsidRDefault="00D119D6">
      <w:r>
        <w:separator/>
      </w:r>
    </w:p>
  </w:footnote>
  <w:footnote w:type="continuationSeparator" w:id="0">
    <w:p w:rsidR="00D119D6" w:rsidRDefault="00D1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198" w:rsidRDefault="00067198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67198" w:rsidRDefault="00062DC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62DC6"/>
    <w:rsid w:val="00067198"/>
    <w:rsid w:val="0007143E"/>
    <w:rsid w:val="000736FD"/>
    <w:rsid w:val="00083761"/>
    <w:rsid w:val="00085A62"/>
    <w:rsid w:val="00093006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0E598E"/>
    <w:rsid w:val="00100A41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86390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874"/>
    <w:rsid w:val="00405D10"/>
    <w:rsid w:val="00406247"/>
    <w:rsid w:val="00412A5F"/>
    <w:rsid w:val="00413912"/>
    <w:rsid w:val="004252DC"/>
    <w:rsid w:val="00426BA1"/>
    <w:rsid w:val="00426BFE"/>
    <w:rsid w:val="00434113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41EE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1BB7"/>
    <w:rsid w:val="008B6A8D"/>
    <w:rsid w:val="008B6C05"/>
    <w:rsid w:val="008C6711"/>
    <w:rsid w:val="008C7701"/>
    <w:rsid w:val="008C7BF3"/>
    <w:rsid w:val="008D039F"/>
    <w:rsid w:val="008D2150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146B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06FD"/>
    <w:rsid w:val="00A821E2"/>
    <w:rsid w:val="00A870CF"/>
    <w:rsid w:val="00A9690B"/>
    <w:rsid w:val="00AA3B18"/>
    <w:rsid w:val="00AA4DD9"/>
    <w:rsid w:val="00AB655E"/>
    <w:rsid w:val="00AC0C1A"/>
    <w:rsid w:val="00AC57A5"/>
    <w:rsid w:val="00AD75F4"/>
    <w:rsid w:val="00AE1C76"/>
    <w:rsid w:val="00AE3B8A"/>
    <w:rsid w:val="00AE4FFB"/>
    <w:rsid w:val="00AF0B6F"/>
    <w:rsid w:val="00AF294C"/>
    <w:rsid w:val="00AF7D73"/>
    <w:rsid w:val="00B01FC7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9D6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41B1"/>
    <w:rsid w:val="00F168F5"/>
    <w:rsid w:val="00F201F9"/>
    <w:rsid w:val="00F23ABE"/>
    <w:rsid w:val="00F25CF1"/>
    <w:rsid w:val="00F269CD"/>
    <w:rsid w:val="00F31E7C"/>
    <w:rsid w:val="00F4304E"/>
    <w:rsid w:val="00F44C7C"/>
    <w:rsid w:val="00F469CC"/>
    <w:rsid w:val="00F519F1"/>
    <w:rsid w:val="00F53C6A"/>
    <w:rsid w:val="00F53F75"/>
    <w:rsid w:val="00F54C6E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2F9D35B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5B6E7-2485-45BA-BAE0-D533BFDF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2937</Words>
  <Characters>17628</Characters>
  <Application>Microsoft Office Word</Application>
  <DocSecurity>0</DocSecurity>
  <Lines>146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62</cp:revision>
  <cp:lastPrinted>2021-02-17T18:19:00Z</cp:lastPrinted>
  <dcterms:created xsi:type="dcterms:W3CDTF">2021-04-12T20:07:00Z</dcterms:created>
  <dcterms:modified xsi:type="dcterms:W3CDTF">2023-06-27T20:07:00Z</dcterms:modified>
</cp:coreProperties>
</file>