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  <w:r w:rsidR="00A254E0">
              <w:rPr>
                <w:rFonts w:ascii="Tahoma" w:hAnsi="Tahoma" w:cs="Tahoma"/>
                <w:b w:val="0"/>
              </w:rPr>
              <w:t>cz.2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387266" w:rsidRDefault="003872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7266">
              <w:rPr>
                <w:rFonts w:ascii="Tahoma" w:hAnsi="Tahoma" w:cs="Tahoma"/>
                <w:b w:val="0"/>
              </w:rPr>
              <w:t>2021/2022 (od semestru letniego)</w:t>
            </w:r>
            <w:bookmarkStart w:id="0" w:name="_GoBack"/>
            <w:bookmarkEnd w:id="0"/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387266" w:rsidRDefault="003872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7266">
              <w:rPr>
                <w:rFonts w:ascii="Tahoma" w:hAnsi="Tahoma" w:cs="Tahoma"/>
                <w:b w:val="0"/>
              </w:rPr>
              <w:t>mgr Małgorzata Szczęch</w:t>
            </w:r>
            <w:r w:rsidR="00C4331F">
              <w:rPr>
                <w:rFonts w:ascii="Tahoma" w:hAnsi="Tahoma" w:cs="Tahoma"/>
                <w:b w:val="0"/>
              </w:rPr>
              <w:t>, mgr</w:t>
            </w:r>
            <w:r w:rsidR="00BB15A0">
              <w:rPr>
                <w:rFonts w:ascii="Tahoma" w:hAnsi="Tahoma" w:cs="Tahoma"/>
                <w:b w:val="0"/>
              </w:rPr>
              <w:t xml:space="preserve"> Joanna Krok, mgr Patrycja Wybranowska</w:t>
            </w:r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  <w:r w:rsidR="006502E1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6502E1" w:rsidRPr="00425BC7">
              <w:rPr>
                <w:rFonts w:ascii="Tahoma" w:hAnsi="Tahoma" w:cs="Tahoma"/>
                <w:b w:val="0"/>
              </w:rPr>
              <w:t xml:space="preserve">Chirurgia i pielęgniarstwo chirurgiczne </w:t>
            </w:r>
            <w:r w:rsidR="006502E1">
              <w:rPr>
                <w:rFonts w:ascii="Tahoma" w:hAnsi="Tahoma" w:cs="Tahoma"/>
                <w:b w:val="0"/>
              </w:rPr>
              <w:t>cz.1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1B157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1B157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</w:tblGrid>
      <w:tr w:rsidR="00413675" w:rsidRPr="00425BC7" w:rsidTr="001B1572">
        <w:trPr>
          <w:gridAfter w:val="1"/>
          <w:wAfter w:w="1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1B1572">
        <w:trPr>
          <w:gridAfter w:val="1"/>
          <w:wAfter w:w="1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F01EA2" w:rsidRPr="00425BC7" w:rsidTr="00EB6084">
        <w:trPr>
          <w:trHeight w:val="101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F01EA2" w:rsidRPr="000637A9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F01EA2" w:rsidRPr="00425BC7" w:rsidTr="00EB6084">
        <w:trPr>
          <w:trHeight w:val="234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F01EA2" w:rsidRPr="00425BC7" w:rsidTr="00EB6084">
        <w:trPr>
          <w:trHeight w:val="227"/>
          <w:jc w:val="center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EA2" w:rsidRDefault="00F01EA2" w:rsidP="00F01EA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257"/>
        <w:gridCol w:w="1113"/>
        <w:gridCol w:w="1255"/>
        <w:gridCol w:w="1116"/>
        <w:gridCol w:w="1257"/>
        <w:gridCol w:w="1199"/>
        <w:gridCol w:w="1210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B1572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Pr="00425BC7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1B1572" w:rsidRDefault="001B1572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lastRenderedPageBreak/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</w:t>
            </w:r>
            <w:r w:rsidR="001B1572">
              <w:rPr>
                <w:rFonts w:ascii="Tahoma" w:hAnsi="Tahoma" w:cs="Tahoma"/>
                <w:b w:val="0"/>
                <w:sz w:val="20"/>
              </w:rPr>
              <w:t>1</w:t>
            </w:r>
            <w:r w:rsidRPr="00425BC7">
              <w:rPr>
                <w:rFonts w:ascii="Tahoma" w:hAnsi="Tahoma" w:cs="Tahoma"/>
                <w:b w:val="0"/>
                <w:sz w:val="20"/>
              </w:rPr>
              <w:t>,C</w:t>
            </w:r>
            <w:r w:rsidR="001B157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ZP3,PZ2,PZ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733179" w:rsidRPr="00425BC7" w:rsidTr="00EB6084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79" w:rsidRDefault="00733179" w:rsidP="0073317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79" w:rsidRDefault="00733179" w:rsidP="0073317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79" w:rsidRDefault="00733179" w:rsidP="0073317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ZP1,PZ12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1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1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733179" w:rsidRPr="00425BC7" w:rsidTr="001936BA">
        <w:tc>
          <w:tcPr>
            <w:tcW w:w="1418" w:type="dxa"/>
            <w:vAlign w:val="center"/>
          </w:tcPr>
          <w:p w:rsidR="00733179" w:rsidRPr="00425BC7" w:rsidRDefault="00733179" w:rsidP="0073317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103" w:type="dxa"/>
            <w:vAlign w:val="center"/>
          </w:tcPr>
          <w:p w:rsidR="00733179" w:rsidRPr="00425BC7" w:rsidRDefault="00733179" w:rsidP="007331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733179" w:rsidRPr="00425BC7" w:rsidRDefault="00733179" w:rsidP="0073317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823278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126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prowadzić poradnictwa w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zakresie samoopieki pacjentów w różnym wieku i stanie zdrowia dotyczącego wad rozwojowych, chorób i uzależnień.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 prowadzić poradnictwo w zakresie samoopieki 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dokumentować sytuację zdrowotną pacjenta, dynamikę jej zmian    i realizowaną opiekę pielęgniarską, z uwzględnieniem narzędzi informatycznych do gromadzenia danych, popełniając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dokumentować sytuację zdrowotną pacjenta, dynamikę jej zmian    i realizowaną opiekę pielęgniarską, z uwzględnieniem narzędzi informatycznych do gromadzenia danych, popełniając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samodzielny dokumentować sytuację zdrowotną pacjenta, dynamikę jej zmian i realizowaną opiekę pielęgniarską, z uwzględnieniem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samodzielnie i poprawnie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bezbłędny i 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osób dorosłych i dzieci żywienie dojelitowe (przez zgłębnik i przetokę odżywczą) 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150AF8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425BC7" w:rsidRDefault="00150AF8" w:rsidP="00150AF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823278" w:rsidRDefault="00150AF8" w:rsidP="00150A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823278" w:rsidRDefault="00150AF8" w:rsidP="00150A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823278" w:rsidRDefault="00150AF8" w:rsidP="00150A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F8" w:rsidRPr="00823278" w:rsidRDefault="00150AF8" w:rsidP="00150AF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150AF8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150AF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</w:t>
            </w:r>
            <w:r w:rsidR="00150AF8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pomocą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150AF8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EB6084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BB15A0" w:rsidTr="00EB6084">
        <w:tc>
          <w:tcPr>
            <w:tcW w:w="9776" w:type="dxa"/>
          </w:tcPr>
          <w:p w:rsidR="0088577B" w:rsidRPr="004D2B05" w:rsidRDefault="0088577B" w:rsidP="00EB6084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BB15A0" w:rsidTr="00EB6084">
        <w:tc>
          <w:tcPr>
            <w:tcW w:w="9776" w:type="dxa"/>
          </w:tcPr>
          <w:p w:rsidR="0088577B" w:rsidRPr="004D2B05" w:rsidRDefault="0088577B" w:rsidP="00EB6084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BB15A0" w:rsidTr="00EB6084">
        <w:tc>
          <w:tcPr>
            <w:tcW w:w="9776" w:type="dxa"/>
          </w:tcPr>
          <w:p w:rsidR="0088577B" w:rsidRPr="004D2B05" w:rsidRDefault="0088577B" w:rsidP="00EB6084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EB6084">
        <w:tc>
          <w:tcPr>
            <w:tcW w:w="9776" w:type="dxa"/>
          </w:tcPr>
          <w:p w:rsidR="0088577B" w:rsidRPr="00425BC7" w:rsidRDefault="0088577B" w:rsidP="00EB6084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BB15A0" w:rsidTr="00EB6084">
        <w:tc>
          <w:tcPr>
            <w:tcW w:w="9776" w:type="dxa"/>
            <w:vAlign w:val="center"/>
          </w:tcPr>
          <w:p w:rsidR="0088577B" w:rsidRPr="00FB65B9" w:rsidRDefault="0088577B" w:rsidP="00EB6084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BB15A0" w:rsidTr="00EB6084">
        <w:tc>
          <w:tcPr>
            <w:tcW w:w="9776" w:type="dxa"/>
            <w:vAlign w:val="center"/>
          </w:tcPr>
          <w:p w:rsidR="0088577B" w:rsidRPr="00FB65B9" w:rsidRDefault="0088577B" w:rsidP="00EB608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D37AA6"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6E7" w:rsidRDefault="008336E7">
      <w:r>
        <w:separator/>
      </w:r>
    </w:p>
  </w:endnote>
  <w:endnote w:type="continuationSeparator" w:id="0">
    <w:p w:rsidR="008336E7" w:rsidRDefault="00833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084" w:rsidRDefault="00EB608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6084" w:rsidRDefault="00EB608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B6084" w:rsidRPr="005D2001" w:rsidRDefault="00EB608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6E7" w:rsidRDefault="008336E7">
      <w:r>
        <w:separator/>
      </w:r>
    </w:p>
  </w:footnote>
  <w:footnote w:type="continuationSeparator" w:id="0">
    <w:p w:rsidR="008336E7" w:rsidRDefault="00833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084" w:rsidRDefault="00EB608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B6084" w:rsidRDefault="008336E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0AF8"/>
    <w:rsid w:val="001537E8"/>
    <w:rsid w:val="00165A7D"/>
    <w:rsid w:val="00167B9C"/>
    <w:rsid w:val="00173A7F"/>
    <w:rsid w:val="001936BA"/>
    <w:rsid w:val="00193719"/>
    <w:rsid w:val="00196F16"/>
    <w:rsid w:val="001A31DC"/>
    <w:rsid w:val="001B1572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520C"/>
    <w:rsid w:val="0020601A"/>
    <w:rsid w:val="0020696D"/>
    <w:rsid w:val="00216DFE"/>
    <w:rsid w:val="0023250C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1E1A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83D2F"/>
    <w:rsid w:val="00387266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2469"/>
    <w:rsid w:val="003F4233"/>
    <w:rsid w:val="003F7B62"/>
    <w:rsid w:val="00405D10"/>
    <w:rsid w:val="00407F22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03FB1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02E1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158A9"/>
    <w:rsid w:val="00721413"/>
    <w:rsid w:val="00731B10"/>
    <w:rsid w:val="00732628"/>
    <w:rsid w:val="00733179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36E7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9F1979"/>
    <w:rsid w:val="00A02A52"/>
    <w:rsid w:val="00A11DDA"/>
    <w:rsid w:val="00A14A1B"/>
    <w:rsid w:val="00A1538D"/>
    <w:rsid w:val="00A16653"/>
    <w:rsid w:val="00A21AFF"/>
    <w:rsid w:val="00A22B5F"/>
    <w:rsid w:val="00A254E0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5A0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331F"/>
    <w:rsid w:val="00C44007"/>
    <w:rsid w:val="00C50308"/>
    <w:rsid w:val="00C52F26"/>
    <w:rsid w:val="00C62C51"/>
    <w:rsid w:val="00C65867"/>
    <w:rsid w:val="00C779FB"/>
    <w:rsid w:val="00C93653"/>
    <w:rsid w:val="00C947FB"/>
    <w:rsid w:val="00CB5513"/>
    <w:rsid w:val="00CD071E"/>
    <w:rsid w:val="00CD1DA7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0C30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B6084"/>
    <w:rsid w:val="00EC15E6"/>
    <w:rsid w:val="00EE1335"/>
    <w:rsid w:val="00EE3891"/>
    <w:rsid w:val="00EF1E29"/>
    <w:rsid w:val="00EF25D1"/>
    <w:rsid w:val="00F00795"/>
    <w:rsid w:val="00F01879"/>
    <w:rsid w:val="00F01EA2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3FF5537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1FBCC5-A84E-40D4-9E77-ACF6E844E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4548</Words>
  <Characters>27290</Characters>
  <Application>Microsoft Office Word</Application>
  <DocSecurity>0</DocSecurity>
  <Lines>227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21</cp:revision>
  <cp:lastPrinted>2021-02-18T09:36:00Z</cp:lastPrinted>
  <dcterms:created xsi:type="dcterms:W3CDTF">2022-09-20T07:48:00Z</dcterms:created>
  <dcterms:modified xsi:type="dcterms:W3CDTF">2023-06-19T07:34:00Z</dcterms:modified>
</cp:coreProperties>
</file>