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2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3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F93130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Pr="004A2F88">
              <w:rPr>
                <w:rFonts w:ascii="Tahoma" w:hAnsi="Tahoma" w:cs="Tahoma"/>
                <w:b w:val="0"/>
              </w:rPr>
              <w:t>Pyrkosz-</w:t>
            </w:r>
            <w:proofErr w:type="spellStart"/>
            <w:r w:rsidRPr="004A2F88">
              <w:rPr>
                <w:rFonts w:ascii="Tahoma" w:hAnsi="Tahoma" w:cs="Tahoma"/>
                <w:b w:val="0"/>
              </w:rPr>
              <w:t>Cifone</w:t>
            </w:r>
            <w:r w:rsidR="00525E4D">
              <w:rPr>
                <w:rFonts w:ascii="Tahoma" w:hAnsi="Tahoma" w:cs="Tahoma"/>
                <w:b w:val="0"/>
              </w:rPr>
              <w:t>l</w:t>
            </w:r>
            <w:r w:rsidRPr="004A2F88">
              <w:rPr>
                <w:rFonts w:ascii="Tahoma" w:hAnsi="Tahoma" w:cs="Tahoma"/>
                <w:b w:val="0"/>
              </w:rPr>
              <w:t>li</w:t>
            </w:r>
            <w:proofErr w:type="spellEnd"/>
            <w:r w:rsidRPr="004A2F88">
              <w:rPr>
                <w:rFonts w:ascii="Tahoma" w:hAnsi="Tahoma" w:cs="Tahoma"/>
                <w:b w:val="0"/>
              </w:rPr>
              <w:t xml:space="preserve"> Elżbieta</w:t>
            </w:r>
            <w:r>
              <w:rPr>
                <w:rFonts w:ascii="Tahoma" w:hAnsi="Tahoma" w:cs="Tahoma"/>
                <w:b w:val="0"/>
              </w:rPr>
              <w:t xml:space="preserve">, dr Edyta Guty, mgr </w:t>
            </w:r>
            <w:r w:rsidR="00C846FB">
              <w:rPr>
                <w:rFonts w:ascii="Tahoma" w:hAnsi="Tahoma" w:cs="Tahoma"/>
                <w:b w:val="0"/>
              </w:rPr>
              <w:t>Kamila Jasnosz</w:t>
            </w:r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DE5D93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9C59F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9C59F1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9C59F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5B2B70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5B2B70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moczowego (niewydolność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dokrewnego (zaburzenia </w:t>
            </w:r>
            <w:r w:rsidRPr="00CC00B9">
              <w:rPr>
                <w:rFonts w:ascii="Tahoma" w:hAnsi="Tahoma" w:cs="Tahoma"/>
                <w:b w:val="0"/>
              </w:rPr>
              <w:lastRenderedPageBreak/>
              <w:t>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 xml:space="preserve">ybrane zaburzenia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hormonalne:</w:t>
            </w:r>
            <w:r w:rsidR="00135039" w:rsidRPr="00CC00B9">
              <w:rPr>
                <w:rFonts w:ascii="Tahoma" w:hAnsi="Tahoma" w:cs="Tahoma"/>
                <w:b w:val="0"/>
              </w:rPr>
              <w:t>niedoczynność</w:t>
            </w:r>
            <w:proofErr w:type="spellEnd"/>
            <w:r w:rsidR="00135039" w:rsidRPr="00CC00B9">
              <w:rPr>
                <w:rFonts w:ascii="Tahoma" w:hAnsi="Tahoma" w:cs="Tahoma"/>
                <w:b w:val="0"/>
              </w:rPr>
              <w:t xml:space="preserve"> tarczycy, nadczynność tarczycy, wole guzkowe, choroba Gravesa-Basedowa, otyłość, </w:t>
            </w:r>
            <w:proofErr w:type="spellStart"/>
            <w:r w:rsidR="00135039" w:rsidRPr="00CC00B9">
              <w:rPr>
                <w:rFonts w:ascii="Tahoma" w:hAnsi="Tahoma" w:cs="Tahoma"/>
                <w:b w:val="0"/>
              </w:rPr>
              <w:t>osteoporoza.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</w:t>
            </w:r>
            <w:proofErr w:type="spellEnd"/>
            <w:r w:rsidR="00135039" w:rsidRPr="00CC00B9">
              <w:rPr>
                <w:rFonts w:ascii="Tahoma" w:eastAsia="Calibri" w:hAnsi="Tahoma" w:cs="Tahoma"/>
                <w:b w:val="0"/>
              </w:rPr>
              <w:t xml:space="preserve">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diabetologicznych.Przygotowanie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Dusznica bolesna stabilna – definicja, cechy bólu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wieńcowego,badania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wieńcowym(OZW):dusznica bolesna niestabilna i zawał serca NSTEMI i STEMI-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Najważniejsze choroby krwi i układu krwiotwórczego: niedokrwistości niedoborowe i hemolityczne, ostre i przewlekłe białaczki, skazy krwotoczne osoczowe, płytkowe i naczyniowe. Objawy, rozpoznanie, 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29186F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33566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WK1-WK9,WP2-WP10,SK2,SK4-SK6</w:t>
            </w:r>
            <w:r w:rsidR="00C17233" w:rsidRPr="0033566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,eL1-eL6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F931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</w:t>
            </w:r>
            <w:proofErr w:type="spellStart"/>
            <w:r w:rsidR="00366191" w:rsidRPr="00CC00B9">
              <w:rPr>
                <w:rFonts w:ascii="Tahoma" w:hAnsi="Tahoma" w:cs="Tahoma"/>
              </w:rPr>
              <w:t>lub</w:t>
            </w:r>
            <w:r w:rsidRPr="00CC00B9">
              <w:rPr>
                <w:rFonts w:ascii="Tahoma" w:hAnsi="Tahoma" w:cs="Tahoma"/>
              </w:rPr>
              <w:t>zamkniętego</w:t>
            </w:r>
            <w:proofErr w:type="spellEnd"/>
            <w:r w:rsidRPr="00CC00B9">
              <w:rPr>
                <w:rFonts w:ascii="Tahoma" w:hAnsi="Tahoma" w:cs="Tahoma"/>
              </w:rPr>
              <w:t>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F93130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F93130" w:rsidRPr="004B2953" w:rsidRDefault="00F93130" w:rsidP="00F9313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7A3947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Pr="001E17BE">
        <w:rPr>
          <w:rFonts w:ascii="Tahoma" w:eastAsia="Times New Roman" w:hAnsi="Tahoma" w:cs="Tahoma"/>
          <w:bCs/>
          <w:sz w:val="20"/>
          <w:szCs w:val="20"/>
        </w:rPr>
        <w:t>BlackBoard</w:t>
      </w:r>
      <w:r w:rsidRPr="004B2953">
        <w:rPr>
          <w:rFonts w:ascii="Tahoma" w:hAnsi="Tahoma" w:cs="Tahoma"/>
          <w:sz w:val="20"/>
          <w:szCs w:val="20"/>
        </w:rPr>
        <w:t>oraz</w:t>
      </w:r>
      <w:proofErr w:type="spellEnd"/>
      <w:r w:rsidRPr="004B2953">
        <w:rPr>
          <w:rFonts w:ascii="Tahoma" w:hAnsi="Tahoma" w:cs="Tahoma"/>
          <w:sz w:val="20"/>
          <w:szCs w:val="20"/>
        </w:rPr>
        <w:t xml:space="preserve">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</w:t>
            </w:r>
            <w:proofErr w:type="spellStart"/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izasad</w:t>
            </w:r>
            <w:proofErr w:type="spellEnd"/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proofErr w:type="spellStart"/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conajmniej</w:t>
            </w:r>
            <w:proofErr w:type="spellEnd"/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</w:t>
            </w:r>
            <w:proofErr w:type="spellStart"/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diagnozowaniai</w:t>
            </w:r>
            <w:proofErr w:type="spellEnd"/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wyjaśnić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co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5B2B7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 plan opieki pielęgniarskiej, wdrażać interwencje pielęgniarskie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niemal bez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kierowania się dobrem pacjenta, poszanowania godności i autonomii osób powierzonych opiece, okazywa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DE5D93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DE5D93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DE5D93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DE5D93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637" w:rsidRDefault="00590637">
      <w:r>
        <w:separator/>
      </w:r>
    </w:p>
  </w:endnote>
  <w:endnote w:type="continuationSeparator" w:id="0">
    <w:p w:rsidR="00590637" w:rsidRDefault="0059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130" w:rsidRDefault="0002474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9313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130" w:rsidRDefault="00F931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F93130" w:rsidRPr="005D2001" w:rsidRDefault="0002474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F93130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3566E">
          <w:rPr>
            <w:rFonts w:asciiTheme="minorHAnsi" w:hAnsiTheme="minorHAnsi"/>
            <w:noProof/>
            <w:sz w:val="20"/>
          </w:rPr>
          <w:t>10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637" w:rsidRDefault="00590637">
      <w:r>
        <w:separator/>
      </w:r>
    </w:p>
  </w:footnote>
  <w:footnote w:type="continuationSeparator" w:id="0">
    <w:p w:rsidR="00590637" w:rsidRDefault="00590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130" w:rsidRDefault="00F9313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93130" w:rsidRDefault="005B2B7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06A4"/>
    <w:rsid w:val="00022BBD"/>
    <w:rsid w:val="0002474A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186F"/>
    <w:rsid w:val="00293E7C"/>
    <w:rsid w:val="00295945"/>
    <w:rsid w:val="002A063D"/>
    <w:rsid w:val="002A249F"/>
    <w:rsid w:val="002A3A00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24787"/>
    <w:rsid w:val="0033566E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25E4D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0637"/>
    <w:rsid w:val="005930A7"/>
    <w:rsid w:val="005955F9"/>
    <w:rsid w:val="005B02B0"/>
    <w:rsid w:val="005B0CAF"/>
    <w:rsid w:val="005B11FF"/>
    <w:rsid w:val="005B2B70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48F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D5CD9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59F1"/>
    <w:rsid w:val="009C7640"/>
    <w:rsid w:val="009E09D8"/>
    <w:rsid w:val="009E215C"/>
    <w:rsid w:val="009F1112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D653E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619C"/>
    <w:rsid w:val="00C37C9A"/>
    <w:rsid w:val="00C41795"/>
    <w:rsid w:val="00C50308"/>
    <w:rsid w:val="00C52F26"/>
    <w:rsid w:val="00C56DDF"/>
    <w:rsid w:val="00C82D2A"/>
    <w:rsid w:val="00C846FB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10D0"/>
    <w:rsid w:val="00D01911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D2ED3"/>
    <w:rsid w:val="00DD6C15"/>
    <w:rsid w:val="00DE1408"/>
    <w:rsid w:val="00DE190F"/>
    <w:rsid w:val="00DE2ACE"/>
    <w:rsid w:val="00DE5D93"/>
    <w:rsid w:val="00DE7D32"/>
    <w:rsid w:val="00DF01F2"/>
    <w:rsid w:val="00DF5C11"/>
    <w:rsid w:val="00E16E4A"/>
    <w:rsid w:val="00E17F09"/>
    <w:rsid w:val="00E22C86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93130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15E1F74B"/>
  <w15:docId w15:val="{3B96F1B1-A7BC-4E58-9EDE-76316102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B4688-21D3-4029-A038-37D2852F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6570</Words>
  <Characters>39425</Characters>
  <Application>Microsoft Office Word</Application>
  <DocSecurity>0</DocSecurity>
  <Lines>328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</cp:revision>
  <cp:lastPrinted>2021-02-23T18:25:00Z</cp:lastPrinted>
  <dcterms:created xsi:type="dcterms:W3CDTF">2023-03-17T09:23:00Z</dcterms:created>
  <dcterms:modified xsi:type="dcterms:W3CDTF">2023-03-27T09:34:00Z</dcterms:modified>
</cp:coreProperties>
</file>