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2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3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09273C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r w:rsidRPr="004559DC">
              <w:rPr>
                <w:rFonts w:ascii="Tahoma" w:hAnsi="Tahoma" w:cs="Tahoma"/>
                <w:b w:val="0"/>
              </w:rPr>
              <w:t xml:space="preserve">mgr Elżbieta Przyboś, </w:t>
            </w:r>
            <w:r w:rsidR="001C4A29" w:rsidRPr="00E4218B">
              <w:rPr>
                <w:rFonts w:ascii="Tahoma" w:hAnsi="Tahoma" w:cs="Tahoma"/>
                <w:b w:val="0"/>
              </w:rPr>
              <w:t>mgr Katarzyna Oliwa</w:t>
            </w:r>
            <w:bookmarkEnd w:id="0"/>
          </w:p>
        </w:tc>
      </w:tr>
      <w:tr w:rsidR="00C34A50" w:rsidRPr="004559DC" w:rsidTr="00C34A50">
        <w:tc>
          <w:tcPr>
            <w:tcW w:w="9781" w:type="dxa"/>
            <w:gridSpan w:val="2"/>
            <w:vAlign w:val="center"/>
          </w:tcPr>
          <w:p w:rsidR="00C34A50" w:rsidRPr="00C34A50" w:rsidRDefault="00C34A50" w:rsidP="00C34A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FF57D5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471785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2F6F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A2F6F" w:rsidRPr="004559DC" w:rsidRDefault="003A2F6F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3C5800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C5800" w:rsidRPr="004559DC" w:rsidRDefault="003C5800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472F0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1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6F77F9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2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2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9"/>
        <w:gridCol w:w="1113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informacyjno-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Opieka paliatywna - definicja, zakres, podstawowe pojęcia.</w:t>
            </w:r>
            <w:r>
              <w:t xml:space="preserve"> </w:t>
            </w:r>
            <w:r>
              <w:rPr>
                <w:rFonts w:ascii="Tahoma" w:hAnsi="Tahoma" w:cs="Tahoma"/>
              </w:rPr>
              <w:t xml:space="preserve">Organizacja opieki </w:t>
            </w:r>
            <w:proofErr w:type="spellStart"/>
            <w:r>
              <w:rPr>
                <w:rFonts w:ascii="Tahoma" w:hAnsi="Tahoma" w:cs="Tahoma"/>
              </w:rPr>
              <w:t>paliatywno</w:t>
            </w:r>
            <w:proofErr w:type="spellEnd"/>
            <w:r>
              <w:rPr>
                <w:rFonts w:ascii="Tahoma" w:hAnsi="Tahoma" w:cs="Tahoma"/>
              </w:rPr>
              <w:t xml:space="preserve"> – hospicyjnej w Polsce i na świecie.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Charakterystyka </w:t>
            </w:r>
            <w:proofErr w:type="spellStart"/>
            <w:r>
              <w:rPr>
                <w:rFonts w:ascii="Tahoma" w:hAnsi="Tahoma" w:cs="Tahoma"/>
              </w:rPr>
              <w:t>populacyjno</w:t>
            </w:r>
            <w:proofErr w:type="spellEnd"/>
            <w:r>
              <w:rPr>
                <w:rFonts w:ascii="Tahoma" w:hAnsi="Tahoma" w:cs="Tahoma"/>
              </w:rPr>
              <w:t xml:space="preserve"> – kliniczna chorych objętych opieką terminalną.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Udział pielęgniarki w przyjęciu chorego do oddziału paliatywnego, diagnozowaniu i planowaniu opieki.</w:t>
            </w:r>
          </w:p>
        </w:tc>
      </w:tr>
      <w:tr w:rsidR="007344B6" w:rsidTr="007344B6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podstawy kliniczne chorób.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Jakość opieki, jakość życia jako priorytet działań pielęgniarskich w opiece paliatywnej. 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Znaczenie diagnozy jako wyznacznika planowania opieki pielęgniarskiej w opiece paliatywnej.  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Leczenie paliatywne: radioterapia, chemioterapia, leczenie hormonalne, chirurgiczne z uwzględnieniem działań niepożądanych. 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farmakoterapii w opiece paliatywnej.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Ból totalny – diagnoza i metody leczenia. Rola pielęgniarki w łagodzeniu bólu.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Opieka nad pacjentem w zaawansowanej fazie choroby nowotworowej. Opieka nad chorym, opieka nad rodziną i bliskimi, opieka nad dawcami wsparcia. Holistyczny model postrzegania człowieka w realizacji założeń opieki paliatywnej.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Opieka pielęgniarska nad dzieckiem w stanie terminalnym i jego rodziną. Wsparcie rodziny po śmierci dziecka.</w:t>
            </w:r>
          </w:p>
        </w:tc>
      </w:tr>
      <w:tr w:rsidR="007344B6" w:rsidTr="007344B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B6" w:rsidRDefault="007344B6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</w:rPr>
              <w:t>Standardy i procedury stosowane w opiece paliatywnej.</w:t>
            </w:r>
            <w:r>
              <w:t xml:space="preserve"> </w:t>
            </w:r>
            <w:r>
              <w:rPr>
                <w:rFonts w:ascii="Tahoma" w:hAnsi="Tahoma" w:cs="Tahoma"/>
              </w:rPr>
              <w:t>Najczęściej stosowane skale w opiece paliatywnej. Metody i techniki oceny świadomości i przytom</w:t>
            </w:r>
            <w:bookmarkStart w:id="3" w:name="_GoBack"/>
            <w:bookmarkEnd w:id="3"/>
            <w:r>
              <w:rPr>
                <w:rFonts w:ascii="Tahoma" w:hAnsi="Tahoma" w:cs="Tahoma"/>
              </w:rPr>
              <w:t>ności.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lastRenderedPageBreak/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1969DA" w:rsidRDefault="00721413" w:rsidP="00B158DC">
      <w:pPr>
        <w:pStyle w:val="Podpunkty"/>
        <w:ind w:left="0"/>
        <w:rPr>
          <w:rFonts w:ascii="Tahoma" w:hAnsi="Tahoma" w:cs="Tahoma"/>
          <w:b w:val="0"/>
          <w:color w:val="00B05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proofErr w:type="spellStart"/>
            <w:r w:rsidRPr="00D94086">
              <w:rPr>
                <w:rFonts w:ascii="Tahoma" w:hAnsi="Tahoma" w:cs="Tahoma"/>
                <w:b w:val="0"/>
              </w:rPr>
              <w:t>pacjenta</w:t>
            </w:r>
            <w:r w:rsidRPr="00446E31">
              <w:rPr>
                <w:rFonts w:ascii="Tahoma" w:hAnsi="Tahoma" w:cs="Tahoma"/>
                <w:b w:val="0"/>
              </w:rPr>
              <w:t>w</w:t>
            </w:r>
            <w:proofErr w:type="spellEnd"/>
            <w:r w:rsidRPr="00446E31">
              <w:rPr>
                <w:rFonts w:ascii="Tahoma" w:hAnsi="Tahoma" w:cs="Tahoma"/>
                <w:b w:val="0"/>
              </w:rPr>
              <w:t xml:space="preserve"> terminalnej fazie choroby </w:t>
            </w:r>
            <w:proofErr w:type="spellStart"/>
            <w:r w:rsidRPr="00446E31">
              <w:rPr>
                <w:rFonts w:ascii="Tahoma" w:hAnsi="Tahoma" w:cs="Tahoma"/>
                <w:b w:val="0"/>
              </w:rPr>
              <w:t>nowotworowej.Diagnoza</w:t>
            </w:r>
            <w:proofErr w:type="spellEnd"/>
            <w:r w:rsidRPr="00446E31">
              <w:rPr>
                <w:rFonts w:ascii="Tahoma" w:hAnsi="Tahoma" w:cs="Tahoma"/>
                <w:b w:val="0"/>
              </w:rPr>
              <w:t xml:space="preserve">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Planowanie, organizowanie, sprawowanie opieki nad pacjentem i jego rodziną oraz monitorowanie 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540"/>
        <w:gridCol w:w="3959"/>
        <w:gridCol w:w="38"/>
      </w:tblGrid>
      <w:tr w:rsidR="009770FE" w:rsidRPr="00D21D29" w:rsidTr="00B92096">
        <w:trPr>
          <w:gridAfter w:val="1"/>
          <w:wAfter w:w="38" w:type="dxa"/>
          <w:trHeight w:val="58"/>
        </w:trPr>
        <w:tc>
          <w:tcPr>
            <w:tcW w:w="3499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59" w:type="dxa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7A721E" w:rsidRPr="009770FE" w:rsidRDefault="007A721E" w:rsidP="005B765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</w:t>
            </w:r>
            <w:r w:rsidR="00D80576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0" w:type="dxa"/>
            <w:vAlign w:val="center"/>
          </w:tcPr>
          <w:p w:rsidR="007A721E" w:rsidRPr="009770FE" w:rsidRDefault="00F5623C" w:rsidP="005B765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7A721E" w:rsidRPr="00D21D29" w:rsidRDefault="00F5623C" w:rsidP="005B76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</w:t>
            </w:r>
            <w:r w:rsidR="00A32D69" w:rsidRPr="00D21D29">
              <w:rPr>
                <w:rFonts w:ascii="Tahoma" w:hAnsi="Tahoma" w:cs="Tahoma"/>
                <w:color w:val="auto"/>
              </w:rPr>
              <w:t>4</w:t>
            </w:r>
            <w:r w:rsidRPr="00D21D29">
              <w:rPr>
                <w:rFonts w:ascii="Tahoma" w:hAnsi="Tahoma" w:cs="Tahoma"/>
                <w:color w:val="auto"/>
              </w:rPr>
              <w:t>,W</w:t>
            </w:r>
            <w:r w:rsidR="00C3257B">
              <w:rPr>
                <w:rFonts w:ascii="Tahoma" w:hAnsi="Tahoma" w:cs="Tahoma"/>
                <w:color w:val="auto"/>
              </w:rPr>
              <w:t>6</w:t>
            </w:r>
            <w:r w:rsidRPr="00D21D29">
              <w:rPr>
                <w:rFonts w:ascii="Tahoma" w:hAnsi="Tahoma" w:cs="Tahoma"/>
                <w:color w:val="auto"/>
              </w:rPr>
              <w:t>,W</w:t>
            </w:r>
            <w:r w:rsidR="00C3257B">
              <w:rPr>
                <w:rFonts w:ascii="Tahoma" w:hAnsi="Tahoma" w:cs="Tahoma"/>
                <w:color w:val="auto"/>
              </w:rPr>
              <w:t>7</w:t>
            </w:r>
            <w:r w:rsidR="00613E7F" w:rsidRPr="00D21D29">
              <w:rPr>
                <w:rFonts w:ascii="Tahoma" w:hAnsi="Tahoma" w:cs="Tahoma"/>
                <w:color w:val="auto"/>
              </w:rPr>
              <w:t>,</w:t>
            </w:r>
            <w:r w:rsidR="00C3257B">
              <w:rPr>
                <w:rFonts w:ascii="Tahoma" w:hAnsi="Tahoma" w:cs="Tahoma"/>
                <w:color w:val="auto"/>
              </w:rPr>
              <w:t>W10,W11,</w:t>
            </w:r>
            <w:r w:rsidR="00AE7751" w:rsidRPr="00D21D29">
              <w:rPr>
                <w:rFonts w:ascii="Tahoma" w:hAnsi="Tahoma" w:cs="Tahoma"/>
                <w:color w:val="auto"/>
              </w:rPr>
              <w:t>SK2</w:t>
            </w:r>
            <w:r w:rsidR="001E2E49"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D80576"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F5623C" w:rsidRPr="00D21D29" w:rsidRDefault="00884518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W6</w:t>
            </w:r>
            <w:r w:rsidR="00613E7F" w:rsidRPr="00D21D29">
              <w:rPr>
                <w:rFonts w:ascii="Tahoma" w:hAnsi="Tahoma" w:cs="Tahoma"/>
                <w:color w:val="auto"/>
              </w:rPr>
              <w:t>,</w:t>
            </w:r>
            <w:r w:rsidR="00C3257B">
              <w:rPr>
                <w:rFonts w:ascii="Tahoma" w:hAnsi="Tahoma" w:cs="Tahoma"/>
                <w:color w:val="auto"/>
              </w:rPr>
              <w:t>W11,</w:t>
            </w:r>
            <w:r w:rsidR="00DE2EB6" w:rsidRPr="00D21D29">
              <w:rPr>
                <w:rFonts w:ascii="Tahoma" w:hAnsi="Tahoma" w:cs="Tahoma"/>
                <w:color w:val="auto"/>
              </w:rPr>
              <w:t>SK1,</w:t>
            </w:r>
            <w:r w:rsidR="00F21A9D" w:rsidRPr="00D21D29">
              <w:rPr>
                <w:rFonts w:ascii="Tahoma" w:hAnsi="Tahoma" w:cs="Tahoma"/>
                <w:color w:val="auto"/>
              </w:rPr>
              <w:t>SK2</w:t>
            </w:r>
            <w:r w:rsidR="001E2E49"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D21D29" w:rsidRDefault="00F5623C" w:rsidP="00D76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</w:t>
            </w:r>
            <w:r w:rsidR="00884518" w:rsidRPr="00D21D29">
              <w:rPr>
                <w:rFonts w:ascii="Tahoma" w:hAnsi="Tahoma" w:cs="Tahoma"/>
                <w:color w:val="auto"/>
              </w:rPr>
              <w:t>7-W9,</w:t>
            </w:r>
            <w:r w:rsidR="00AE7751" w:rsidRPr="00D21D29">
              <w:rPr>
                <w:rFonts w:ascii="Tahoma" w:hAnsi="Tahoma" w:cs="Tahoma"/>
                <w:color w:val="auto"/>
              </w:rPr>
              <w:t>SK2</w:t>
            </w:r>
            <w:r w:rsidR="001E2E49"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3553FD" w:rsidRDefault="00941321" w:rsidP="005614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</w:t>
            </w:r>
            <w:r w:rsidR="00C3257B">
              <w:rPr>
                <w:rFonts w:ascii="Tahoma" w:hAnsi="Tahoma" w:cs="Tahoma"/>
                <w:color w:val="auto"/>
              </w:rPr>
              <w:t>5,W15</w:t>
            </w:r>
            <w:r w:rsidR="00884518" w:rsidRPr="003553FD">
              <w:rPr>
                <w:rFonts w:ascii="Tahoma" w:hAnsi="Tahoma" w:cs="Tahoma"/>
                <w:color w:val="auto"/>
              </w:rPr>
              <w:t>,</w:t>
            </w:r>
            <w:r w:rsidR="00AE7751" w:rsidRPr="003553FD">
              <w:rPr>
                <w:rFonts w:ascii="Tahoma" w:hAnsi="Tahoma" w:cs="Tahoma"/>
                <w:color w:val="auto"/>
              </w:rPr>
              <w:t>SK2</w:t>
            </w:r>
            <w:r w:rsidR="001E2E49" w:rsidRPr="003553FD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3553FD" w:rsidRDefault="00941321" w:rsidP="007A247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W12</w:t>
            </w:r>
            <w:r w:rsidR="00C3257B">
              <w:rPr>
                <w:rFonts w:ascii="Tahoma" w:hAnsi="Tahoma" w:cs="Tahoma"/>
                <w:color w:val="auto"/>
              </w:rPr>
              <w:t xml:space="preserve"> – W14</w:t>
            </w:r>
            <w:r w:rsidR="00884518" w:rsidRPr="003553FD">
              <w:rPr>
                <w:rFonts w:ascii="Tahoma" w:hAnsi="Tahoma" w:cs="Tahoma"/>
                <w:color w:val="auto"/>
              </w:rPr>
              <w:t>,</w:t>
            </w:r>
            <w:r w:rsidR="00DE2EB6" w:rsidRPr="003553FD">
              <w:rPr>
                <w:rFonts w:ascii="Tahoma" w:hAnsi="Tahoma" w:cs="Tahoma"/>
                <w:color w:val="auto"/>
              </w:rPr>
              <w:t>SK1</w:t>
            </w:r>
            <w:r w:rsidR="00E74082" w:rsidRPr="003553FD">
              <w:rPr>
                <w:rFonts w:ascii="Tahoma" w:hAnsi="Tahoma" w:cs="Tahoma"/>
                <w:color w:val="auto"/>
              </w:rPr>
              <w:t>,</w:t>
            </w:r>
            <w:r w:rsidR="00E37309" w:rsidRPr="003553FD">
              <w:rPr>
                <w:rFonts w:ascii="Tahoma" w:hAnsi="Tahoma" w:cs="Tahoma"/>
                <w:color w:val="auto"/>
              </w:rPr>
              <w:t>SK2</w:t>
            </w:r>
            <w:r w:rsidR="001E2E49" w:rsidRPr="003553FD">
              <w:rPr>
                <w:rFonts w:ascii="Tahoma" w:hAnsi="Tahoma" w:cs="Tahoma"/>
                <w:color w:val="auto"/>
              </w:rPr>
              <w:t>,SK3,SK4</w:t>
            </w:r>
          </w:p>
        </w:tc>
      </w:tr>
      <w:tr w:rsidR="009770FE" w:rsidRPr="00D21D29" w:rsidTr="00B92096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 w:rsidR="002D7BC7">
              <w:rPr>
                <w:rFonts w:ascii="Tahoma" w:hAnsi="Tahoma" w:cs="Tahoma"/>
              </w:rPr>
              <w:t>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F5623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D21D29" w:rsidRDefault="00884518" w:rsidP="005614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W1</w:t>
            </w:r>
            <w:r w:rsidR="00C3257B">
              <w:rPr>
                <w:rFonts w:ascii="Tahoma" w:hAnsi="Tahoma" w:cs="Tahoma"/>
                <w:color w:val="auto"/>
              </w:rPr>
              <w:t xml:space="preserve"> – W3</w:t>
            </w:r>
            <w:r w:rsidRPr="00D21D29">
              <w:rPr>
                <w:rFonts w:ascii="Tahoma" w:hAnsi="Tahoma" w:cs="Tahoma"/>
                <w:color w:val="auto"/>
              </w:rPr>
              <w:t>,</w:t>
            </w:r>
            <w:r w:rsidR="001E2E49" w:rsidRPr="00D21D29">
              <w:rPr>
                <w:rFonts w:ascii="Tahoma" w:hAnsi="Tahoma" w:cs="Tahoma"/>
                <w:color w:val="auto"/>
              </w:rPr>
              <w:t>SK4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D21D29" w:rsidRDefault="00613E7F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ZP2, </w:t>
            </w:r>
            <w:r w:rsidR="00E37309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D21D29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</w:t>
            </w:r>
            <w:r w:rsidR="00A0249B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</w:t>
            </w: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PZ3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,PZ4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40" w:type="dxa"/>
            <w:vAlign w:val="center"/>
          </w:tcPr>
          <w:p w:rsidR="00F5623C" w:rsidRPr="009770FE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384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9209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40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97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  <w:r w:rsidR="00EA786F">
              <w:rPr>
                <w:rFonts w:ascii="Tahoma" w:hAnsi="Tahoma" w:cs="Tahoma"/>
                <w:b w:val="0"/>
                <w:sz w:val="20"/>
              </w:rPr>
              <w:t>, SK1-SK4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E80536" w:rsidRPr="00082C47" w:rsidRDefault="00E80536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>otwartego i</w:t>
            </w:r>
            <w:r w:rsidR="004A3E58" w:rsidRPr="00E303B9">
              <w:rPr>
                <w:rFonts w:ascii="Tahoma" w:hAnsi="Tahoma" w:cs="Tahoma"/>
                <w:color w:val="000000" w:themeColor="text1"/>
              </w:rPr>
              <w:t>/</w:t>
            </w:r>
            <w:proofErr w:type="spellStart"/>
            <w:r w:rsidR="004A3E58" w:rsidRPr="00E303B9">
              <w:rPr>
                <w:rFonts w:ascii="Tahoma" w:hAnsi="Tahoma" w:cs="Tahoma"/>
                <w:color w:val="000000" w:themeColor="text1"/>
              </w:rPr>
              <w:t>lub</w:t>
            </w:r>
            <w:r w:rsidRPr="004559DC">
              <w:rPr>
                <w:rFonts w:ascii="Tahoma" w:hAnsi="Tahoma" w:cs="Tahoma"/>
                <w:color w:val="auto"/>
              </w:rPr>
              <w:t>zamkniętego</w:t>
            </w:r>
            <w:proofErr w:type="spellEnd"/>
            <w:r w:rsidRPr="004559DC">
              <w:rPr>
                <w:rFonts w:ascii="Tahoma" w:hAnsi="Tahoma" w:cs="Tahoma"/>
                <w:color w:val="auto"/>
              </w:rPr>
              <w:t>)</w:t>
            </w:r>
          </w:p>
        </w:tc>
        <w:tc>
          <w:tcPr>
            <w:tcW w:w="3260" w:type="dxa"/>
            <w:vAlign w:val="center"/>
          </w:tcPr>
          <w:p w:rsidR="00E80536" w:rsidRPr="00C949C3" w:rsidRDefault="00E80536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C949C3" w:rsidRDefault="00E80536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296EBD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6E5D5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52350" w:rsidRPr="00D4182B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 w:rsidR="00341C61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="00341C6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000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1028EF" w:rsidRPr="00C949C3" w:rsidRDefault="001028EF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028EF" w:rsidRPr="00C949C3" w:rsidRDefault="001028EF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028EF" w:rsidRPr="00C949C3" w:rsidRDefault="001028EF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/ 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920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B3606E" w:rsidRPr="004559DC" w:rsidTr="000276ED">
        <w:tc>
          <w:tcPr>
            <w:tcW w:w="1418" w:type="dxa"/>
            <w:vAlign w:val="center"/>
          </w:tcPr>
          <w:p w:rsidR="00B3606E" w:rsidRPr="004559DC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4734B2" w:rsidRPr="006E1949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3606E" w:rsidRPr="006E1949" w:rsidRDefault="00B3606E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52350" w:rsidRPr="004559DC" w:rsidTr="000276ED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052350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A36BAF"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 położniczo-ginekologicznym, pediatrycznym, geriatrycznym, neurologicznym, psychiatrycznym, w intensywnej opiece medycznej,</w:t>
            </w:r>
            <w:r w:rsidR="00052350"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27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procedury pielęgniarskie stosowane w opiece nad pacjentem w różnym wieku i stanie zdrowia.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pacjenta na chorobę, przyjęcie do szpitala    i hospitalizację.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</w:t>
            </w:r>
            <w:proofErr w:type="spellEnd"/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pacjenta na chorobę, przyjęcie do szpitala i hospitalizację.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organizacji opieki specjalistycznej (geriatrycznej, intensywnej opieki medycznej, neurologicznej, psychiatrycznej, pediatrycznej, 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zasady</w:t>
            </w:r>
            <w:proofErr w:type="spellEnd"/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zasady</w:t>
            </w:r>
            <w:proofErr w:type="spellEnd"/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</w:t>
            </w: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rozumie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zasady</w:t>
            </w:r>
            <w:proofErr w:type="spellEnd"/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zmiani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samodzielnie i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poprawnieuczyć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rehabilitacyjnego i wyrobów medycznych.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dojelitowe (przez zgłębnik i przetokę odżywczą) oraz żywienie pozajelitowe.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rozpoznawać powikłań leczenia farmakologicznego, dietetycznego,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rozpoznawać powikłania leczenia farmakologicznego, dietetycznego, rehabilitacyjnego i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bezbłędnie rozpoznawać powikłania leczenia farmakologicznego,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dietetycznego, rehabilitacyjnego i leczniczo-pielęgnacyjnego.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4717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przekazywać informacje członkom zespołu terapeutycznego o stanie zdrowia pacjenta, komunikuje wyczerpująco,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bez konieczności ścisłego nadzoru ze strony opiekuna podczas realizacji wszystkich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B65B6C" w:rsidRDefault="00D77734" w:rsidP="00B65B6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</w:t>
            </w:r>
            <w:r w:rsidR="00B9209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rodziną;wymaga</w:t>
            </w:r>
            <w:proofErr w:type="spellEnd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rodziną;wymaga</w:t>
            </w:r>
            <w:proofErr w:type="spellEnd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rodziną;nie</w:t>
            </w:r>
            <w:proofErr w:type="spellEnd"/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Merge w:val="restart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F60360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F60360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BF06BF" w:rsidRPr="00F60360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13</w:t>
            </w:r>
            <w:r w:rsidR="005E554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F67DD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1D9" w:rsidRDefault="007051D9">
      <w:r>
        <w:separator/>
      </w:r>
    </w:p>
  </w:endnote>
  <w:endnote w:type="continuationSeparator" w:id="0">
    <w:p w:rsidR="007051D9" w:rsidRDefault="0070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4B6" w:rsidRDefault="007344B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44B6" w:rsidRDefault="007344B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344B6" w:rsidRPr="005D2001" w:rsidRDefault="007344B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1D9" w:rsidRDefault="007051D9">
      <w:r>
        <w:separator/>
      </w:r>
    </w:p>
  </w:footnote>
  <w:footnote w:type="continuationSeparator" w:id="0">
    <w:p w:rsidR="007051D9" w:rsidRDefault="00705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4B6" w:rsidRDefault="007344B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44B6" w:rsidRDefault="00F6036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B0870"/>
    <w:rsid w:val="002B25D3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553FD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3771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1785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051D9"/>
    <w:rsid w:val="00710DD1"/>
    <w:rsid w:val="007158A9"/>
    <w:rsid w:val="00721413"/>
    <w:rsid w:val="00731B10"/>
    <w:rsid w:val="007334E2"/>
    <w:rsid w:val="0073390C"/>
    <w:rsid w:val="007344B6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1321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257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37ABC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60360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05680CF"/>
  <w15:docId w15:val="{7B13409A-78BA-4BB4-9205-5E5D777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945CB-A66E-4E61-8741-927E8276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5388</Words>
  <Characters>32328</Characters>
  <Application>Microsoft Office Word</Application>
  <DocSecurity>0</DocSecurity>
  <Lines>269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</cp:revision>
  <cp:lastPrinted>2023-03-27T11:17:00Z</cp:lastPrinted>
  <dcterms:created xsi:type="dcterms:W3CDTF">2023-03-27T11:29:00Z</dcterms:created>
  <dcterms:modified xsi:type="dcterms:W3CDTF">2023-03-27T11:44:00Z</dcterms:modified>
</cp:coreProperties>
</file>