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8722"/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A77D37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  <w:r w:rsidR="000A798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09273C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1" w:name="_Hlk113878155"/>
            <w:r w:rsidRPr="004559DC">
              <w:rPr>
                <w:rFonts w:ascii="Tahoma" w:hAnsi="Tahoma" w:cs="Tahoma"/>
                <w:b w:val="0"/>
              </w:rPr>
              <w:t xml:space="preserve">mgr Elżbieta Przyboś, </w:t>
            </w:r>
            <w:r w:rsidR="001C4A29" w:rsidRPr="00E4218B">
              <w:rPr>
                <w:rFonts w:ascii="Tahoma" w:hAnsi="Tahoma" w:cs="Tahoma"/>
                <w:b w:val="0"/>
              </w:rPr>
              <w:t>mgr Katarzyna Oliwa</w:t>
            </w:r>
            <w:bookmarkEnd w:id="1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2" w:name="_Hlk130458733"/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</w:t>
            </w:r>
            <w:r w:rsidR="00546FCF">
              <w:rPr>
                <w:rFonts w:ascii="Tahoma" w:hAnsi="Tahoma" w:cs="Tahoma"/>
                <w:b w:val="0"/>
              </w:rPr>
              <w:t xml:space="preserve">, </w:t>
            </w:r>
            <w:r w:rsidR="00546FCF" w:rsidRPr="00546FCF">
              <w:rPr>
                <w:rFonts w:ascii="Tahoma" w:hAnsi="Tahoma" w:cs="Tahoma"/>
                <w:b w:val="0"/>
              </w:rPr>
              <w:t>Opieka paliatywna cz.1</w:t>
            </w:r>
          </w:p>
        </w:tc>
      </w:tr>
      <w:bookmarkEnd w:id="2"/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</w:t>
            </w:r>
            <w:r w:rsidR="00A77D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3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lastRenderedPageBreak/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3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4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4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bookmarkStart w:id="5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5"/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119"/>
        <w:gridCol w:w="1114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A77D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97"/>
      </w:tblGrid>
      <w:tr w:rsidR="009770FE" w:rsidRPr="00D21D29" w:rsidTr="00BC5350">
        <w:trPr>
          <w:trHeight w:val="58"/>
        </w:trPr>
        <w:tc>
          <w:tcPr>
            <w:tcW w:w="349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97" w:type="dxa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D21D29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D21D29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</w:t>
            </w:r>
            <w:r w:rsidR="00A0249B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</w:t>
            </w:r>
            <w:r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PZ1</w:t>
            </w:r>
            <w:r w:rsidR="007A2473" w:rsidRPr="00D21D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40" w:type="dxa"/>
            <w:vAlign w:val="center"/>
          </w:tcPr>
          <w:p w:rsidR="00F5623C" w:rsidRPr="009770FE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C5350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40" w:type="dxa"/>
            <w:vAlign w:val="center"/>
          </w:tcPr>
          <w:p w:rsidR="00BE0ED3" w:rsidRPr="00BE0ED3" w:rsidRDefault="00A77D37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nie potrafi gromadzić informacji, formułować diagnozy pielęgniarskiej, ustalać celów i planu opieki pielęgniarskiej, wdrażać interwencji pielęgniarskich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plan opieki pielęgniarskiej, wdrażać interwencje pielęgniarskie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gromadzić informacje, formułować diagnozę pielęgniarską, ustalać cele i plan opieki pielęgniarskiej, wdrażać interwencje pielęgniarskie oraz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bezbłędnie gromadzić informacje, formułować diagnozę pielęgniarską, ustalać cele i plan opieki pielęgniarskiej, wdrażać </w:t>
            </w: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lastRenderedPageBreak/>
              <w:t>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 w:rsid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realizowaną opiekę pielęgniarską, z uwzględnieniem narzędzi informatycznych do gromadzenia danych, popełniając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w sposób bezbłędny i samodzielny dokumentować sytuację zdrowotną pacjenta, dynamikę jej zmian i realizowaną opiekę pielęgniarską, z uwzględnieniem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6E1949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</w:t>
            </w:r>
            <w:r w:rsidR="006E1949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uczyć pacjenta i jego opiekuna doboru oraz użytkowania sprzętu pielęgnacyjno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</w:t>
            </w:r>
            <w:bookmarkStart w:id="6" w:name="_GoBack"/>
            <w:bookmarkEnd w:id="6"/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bez konieczności ścisłego nadzoru ze strony opiekuna podczas realizacji wszystkich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P_U1</w:t>
            </w:r>
            <w:r w:rsidR="00B9209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BC5350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BC5350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BC5350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FA0292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FE2" w:rsidRDefault="007B3FE2">
      <w:r>
        <w:separator/>
      </w:r>
    </w:p>
  </w:endnote>
  <w:endnote w:type="continuationSeparator" w:id="0">
    <w:p w:rsidR="007B3FE2" w:rsidRDefault="007B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77D37" w:rsidRDefault="00A77D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77D37" w:rsidRPr="005D2001" w:rsidRDefault="00A77D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FE2" w:rsidRDefault="007B3FE2">
      <w:r>
        <w:separator/>
      </w:r>
    </w:p>
  </w:footnote>
  <w:footnote w:type="continuationSeparator" w:id="0">
    <w:p w:rsidR="007B3FE2" w:rsidRDefault="007B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D37" w:rsidRDefault="00A77D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77D37" w:rsidRDefault="00BC535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46FC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3FE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E5863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77D37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350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292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AA1D0-EB19-42BA-BDB8-7E65C103E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3877</Words>
  <Characters>23264</Characters>
  <Application>Microsoft Office Word</Application>
  <DocSecurity>0</DocSecurity>
  <Lines>193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48</cp:revision>
  <cp:lastPrinted>2021-10-18T20:17:00Z</cp:lastPrinted>
  <dcterms:created xsi:type="dcterms:W3CDTF">2021-01-26T09:33:00Z</dcterms:created>
  <dcterms:modified xsi:type="dcterms:W3CDTF">2023-04-05T10:46:00Z</dcterms:modified>
</cp:coreProperties>
</file>