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ED5752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A857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57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857B3" w:rsidRDefault="00A85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57B3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0D75A0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DE7020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Leszek Bojarski, mgr Patrycja Trojnar, mgr Maria </w:t>
            </w:r>
            <w:proofErr w:type="spellStart"/>
            <w:r>
              <w:rPr>
                <w:rFonts w:ascii="Tahoma" w:hAnsi="Tahoma" w:cs="Tahoma"/>
                <w:b w:val="0"/>
              </w:rPr>
              <w:t>Rogoz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mgr Dorota </w:t>
            </w:r>
            <w:proofErr w:type="spellStart"/>
            <w:r>
              <w:rPr>
                <w:rFonts w:ascii="Tahoma" w:hAnsi="Tahoma" w:cs="Tahoma"/>
                <w:b w:val="0"/>
              </w:rPr>
              <w:t>Rogoz</w:t>
            </w:r>
            <w:proofErr w:type="spellEnd"/>
            <w:r>
              <w:rPr>
                <w:rFonts w:ascii="Tahoma" w:hAnsi="Tahoma" w:cs="Tahoma"/>
                <w:b w:val="0"/>
              </w:rPr>
              <w:t>, mgr Lucyna Kochman</w:t>
            </w:r>
            <w:bookmarkStart w:id="0" w:name="_GoBack"/>
            <w:bookmarkEnd w:id="0"/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11"/>
        <w:gridCol w:w="8567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>, a także</w:t>
            </w:r>
            <w:r w:rsidR="005C202B">
              <w:rPr>
                <w:rFonts w:ascii="Tahoma" w:hAnsi="Tahoma" w:cs="Tahoma"/>
                <w:b w:val="0"/>
              </w:rPr>
              <w:t xml:space="preserve"> </w:t>
            </w:r>
            <w:r w:rsidRPr="005C202B">
              <w:rPr>
                <w:rFonts w:ascii="Tahoma" w:hAnsi="Tahoma" w:cs="Tahoma"/>
                <w:b w:val="0"/>
              </w:rPr>
              <w:t>sprawowania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ED575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opiece medycznej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ED5752" w:rsidRPr="00DE7020" w:rsidTr="00ED575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D5752" w:rsidRPr="00DE7020" w:rsidRDefault="00ED5752" w:rsidP="00ED57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ED5752" w:rsidRPr="00E64AD7" w:rsidTr="00ED575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E64AD7" w:rsidRDefault="00ED5752" w:rsidP="00ED5752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535947" w:rsidRDefault="00ED5752" w:rsidP="00ED575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E64AD7" w:rsidRDefault="00ED5752" w:rsidP="00ED57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ED5752" w:rsidRDefault="00ED5752" w:rsidP="00ED5752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204EB0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204EB0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204EB0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Przygotowanie pacjenta do 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</w:t>
            </w:r>
            <w:r w:rsidR="005C2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pieka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</w:t>
            </w:r>
            <w:r w:rsidR="00EA6B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ostępowanie w ostrych stanach 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B22C69" w:rsidRPr="00DE7020" w:rsidTr="00635F6C">
        <w:tc>
          <w:tcPr>
            <w:tcW w:w="709" w:type="dxa"/>
            <w:vAlign w:val="center"/>
          </w:tcPr>
          <w:p w:rsidR="00B22C69" w:rsidRPr="00DE7020" w:rsidRDefault="00B22C69" w:rsidP="00B22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WP10</w:t>
            </w:r>
          </w:p>
        </w:tc>
        <w:tc>
          <w:tcPr>
            <w:tcW w:w="9072" w:type="dxa"/>
            <w:vAlign w:val="center"/>
          </w:tcPr>
          <w:p w:rsidR="00B22C69" w:rsidRPr="003B44AB" w:rsidRDefault="00B22C69" w:rsidP="00B22C6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B22C69" w:rsidRPr="00DE7020" w:rsidTr="00635F6C">
        <w:tc>
          <w:tcPr>
            <w:tcW w:w="709" w:type="dxa"/>
            <w:vAlign w:val="center"/>
          </w:tcPr>
          <w:p w:rsidR="00B22C69" w:rsidRPr="00DE7020" w:rsidRDefault="00B22C69" w:rsidP="00B22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WP11</w:t>
            </w:r>
          </w:p>
        </w:tc>
        <w:tc>
          <w:tcPr>
            <w:tcW w:w="9072" w:type="dxa"/>
            <w:vAlign w:val="center"/>
          </w:tcPr>
          <w:p w:rsidR="00B22C69" w:rsidRPr="003B44AB" w:rsidRDefault="00B22C69" w:rsidP="00B22C6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Udział pielęgniarki w przygotowaniu chorego do badań diagnostycznych, opieka nad pacjentem w trakcie i po badaniu. </w:t>
            </w:r>
          </w:p>
        </w:tc>
      </w:tr>
      <w:tr w:rsidR="00B22C69" w:rsidRPr="00DE7020" w:rsidTr="00635F6C">
        <w:tc>
          <w:tcPr>
            <w:tcW w:w="709" w:type="dxa"/>
            <w:vAlign w:val="center"/>
          </w:tcPr>
          <w:p w:rsidR="00B22C69" w:rsidRDefault="00B22C69" w:rsidP="00B22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WP12</w:t>
            </w:r>
          </w:p>
        </w:tc>
        <w:tc>
          <w:tcPr>
            <w:tcW w:w="9072" w:type="dxa"/>
            <w:vAlign w:val="center"/>
          </w:tcPr>
          <w:p w:rsidR="00B22C69" w:rsidRPr="003B44AB" w:rsidRDefault="00B22C69" w:rsidP="00B22C6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lastRenderedPageBreak/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>Zaawansowane elementy tematyki 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65B4D">
              <w:rPr>
                <w:rFonts w:ascii="Tahoma" w:hAnsi="Tahoma" w:cs="Tahoma"/>
                <w:b w:val="0"/>
              </w:rPr>
              <w:t xml:space="preserve"> </w:t>
            </w:r>
            <w:r w:rsidR="006B52C7">
              <w:rPr>
                <w:rFonts w:ascii="Tahoma" w:hAnsi="Tahoma" w:cs="Tahoma"/>
                <w:b w:val="0"/>
              </w:rPr>
              <w:t xml:space="preserve">anestezjologii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Opieka nad pacjentem w stanie zagrożenia życia, ocena zaburzeń świadomości i przytomności (skale 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ED5752" w:rsidRDefault="00ED5752" w:rsidP="00ED575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WK1,WK3,WK6,WK7,eL3,eL5,Sk1,Sk4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WK3-WK4,WK6-WK7,WP3-WP12,eL3,eL5,Sk4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WK3,WK7,WP2-WP12,Sk4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eL6,Sk4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WK1,WK3,WK5,WK7,eL4,Sk4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WK3,WP5,WP6,WP8,Sk4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WK2,WP2,Sk4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WK3,WP5-WP6,WP8,Sk4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WP12,SK2,Sk4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</w:t>
            </w:r>
            <w:r w:rsidR="005251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ED5752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F7FD1" w:rsidRPr="00DE7020" w:rsidRDefault="005F7FD1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F7FD1" w:rsidRPr="00CB23D4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F7FD1" w:rsidRPr="00CB23D4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F7FD1" w:rsidRPr="00DE7020" w:rsidRDefault="005F7FD1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rPr>
          <w:trHeight w:val="58"/>
        </w:trPr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P_W08</w:t>
            </w:r>
          </w:p>
        </w:tc>
        <w:tc>
          <w:tcPr>
            <w:tcW w:w="5103" w:type="dxa"/>
            <w:vMerge/>
            <w:vAlign w:val="center"/>
          </w:tcPr>
          <w:p w:rsidR="005F7FD1" w:rsidRPr="00CB23D4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5F7FD1" w:rsidRPr="001A53B4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57591" w:rsidRPr="004B2953" w:rsidRDefault="00657591" w:rsidP="006575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bookmarkStart w:id="1" w:name="_Hlk113438798"/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proofErr w:type="spellStart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BlackBoard</w:t>
      </w:r>
      <w:proofErr w:type="spellEnd"/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bookmarkEnd w:id="1"/>
    <w:p w:rsidR="00ED5752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ED5752" w:rsidRDefault="00ED5752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60% zna i rozumie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76%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93% zna i rozumie etiopatogenezę, objawy kliniczne, przebieg, leczenie, rokowanie i zasady opieki pielęgniarskiej nad pacjentami w wybranych chorobach.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 rodzajów badań diagnostycznych i zasad ich zlecania.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rodzaje badań diagnostycznych i zasady ich zlecania.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705BDA" w:rsidRPr="005B1345" w:rsidTr="00290EBA">
        <w:tc>
          <w:tcPr>
            <w:tcW w:w="1418" w:type="dxa"/>
            <w:vAlign w:val="center"/>
          </w:tcPr>
          <w:p w:rsidR="00705BDA" w:rsidRPr="003F1747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w co najmniej 60% zna i rozumie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76% 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93% 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60%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76%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93%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opiece nad pacjentem w różnym wieku i stanie zdrowia.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686D0E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60% zna i rozumie 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76% zna i rozumie zasady organizacji opieki specjalistycznej(geriatrycznej,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93% zna i rozumie 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</w:t>
            </w:r>
            <w:r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metod, technik i narzędzi oceny stanu świadomości i przytomności.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metody, techniki i narzędzia oceny stanu świadomości i przytomności.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zna i nie rozumie zasad obserwacji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 xml:space="preserve">Student w co najmniej 60% 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 xml:space="preserve">Student w co najmniej 76% 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 xml:space="preserve">Student w co najmniej 93% 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zasady obserwacji pacjenta po zabiegu operacyjnym, obejmującej monitorowanie w zakresie podstawowym i rozszerzonym.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P_W13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metody znieczulenia i zasady opieki nad pacjentem po znieczuleniu.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93% zna i rozumie metody znieczulenia i zasady opieki nad pacjentem po znieczuleniu.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patofizjologii i objawów klinicznych chorób stanowiących zagrożenie dla życia (niewydolność oddechowa, niewydolność krążenia, niewydolność układu nerwowego, wstrząs, sepsa).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 patofizjologię i objawy kliniczne chorób stanowiących zagrożenie dla życia (niewydolność oddechowa, niewydolność krążenia, niewydolność układu nerwowego,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wstrząs, sepsa).</w:t>
            </w:r>
          </w:p>
        </w:tc>
      </w:tr>
      <w:tr w:rsidR="00705BDA" w:rsidRPr="00DE7020" w:rsidTr="00B22C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Default="00705BDA" w:rsidP="00705BD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metod i </w:t>
            </w:r>
            <w:proofErr w:type="spellStart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metody i skale oceny bólu, poziomu sedacji oraz zaburzeń snu oraz stanów delirycznych u pacjentów w stanach zagrożenia życia.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93% zna i rozumie metody i skale oceny bólu, poziomu sedacji oraz zaburzeń snu oraz stanów delirycznych u pacjentów w stanach zagrożenia życia.</w:t>
            </w:r>
          </w:p>
        </w:tc>
      </w:tr>
      <w:tr w:rsidR="00705BDA" w:rsidRPr="00DE7020" w:rsidTr="00B22C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Default="00705BDA" w:rsidP="00705BD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705BDA" w:rsidRPr="00DE7020" w:rsidTr="00B22C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Default="00705BDA" w:rsidP="00705BD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w co najmniej 60% zasady profilaktyki powikłań związanych ze stosowaniem inwazyjnych technik diagnostycznych i terapeutycznych u pacjentów w stanie krytycznym.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DC2C82" w:rsidRPr="00DE7020" w:rsidTr="00EA6B68">
        <w:trPr>
          <w:trHeight w:val="223"/>
        </w:trPr>
        <w:tc>
          <w:tcPr>
            <w:tcW w:w="1418" w:type="dxa"/>
            <w:vMerge w:val="restart"/>
            <w:vAlign w:val="center"/>
          </w:tcPr>
          <w:p w:rsidR="00DC2C82" w:rsidRDefault="002B7EE4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DC2C82" w:rsidRPr="008853D1" w:rsidTr="00EA6B68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C2C82" w:rsidRPr="008853D1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0D75A0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0D75A0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0D75A0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669" w:rsidRDefault="00ED0669">
      <w:r>
        <w:separator/>
      </w:r>
    </w:p>
  </w:endnote>
  <w:endnote w:type="continuationSeparator" w:id="0">
    <w:p w:rsidR="00ED0669" w:rsidRDefault="00ED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69" w:rsidRDefault="00B22C6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2C69" w:rsidRDefault="00B22C6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22C69" w:rsidRPr="005D2001" w:rsidRDefault="00B22C6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669" w:rsidRDefault="00ED0669">
      <w:r>
        <w:separator/>
      </w:r>
    </w:p>
  </w:footnote>
  <w:footnote w:type="continuationSeparator" w:id="0">
    <w:p w:rsidR="00ED0669" w:rsidRDefault="00ED0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69" w:rsidRDefault="00B22C6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22C69" w:rsidRDefault="00ED066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5A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B7EE4"/>
    <w:rsid w:val="002C7E81"/>
    <w:rsid w:val="002D1FC9"/>
    <w:rsid w:val="002D4D7D"/>
    <w:rsid w:val="002D70D2"/>
    <w:rsid w:val="002E42B0"/>
    <w:rsid w:val="002E4838"/>
    <w:rsid w:val="002E57B9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16AA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06F0"/>
    <w:rsid w:val="005247A6"/>
    <w:rsid w:val="0052519F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7D1E"/>
    <w:rsid w:val="005F7ED5"/>
    <w:rsid w:val="005F7FD1"/>
    <w:rsid w:val="00603431"/>
    <w:rsid w:val="00606392"/>
    <w:rsid w:val="0061616A"/>
    <w:rsid w:val="00625ADB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57591"/>
    <w:rsid w:val="00660710"/>
    <w:rsid w:val="00663E53"/>
    <w:rsid w:val="00665B4D"/>
    <w:rsid w:val="00672A06"/>
    <w:rsid w:val="00672D8A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05BDA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40DB"/>
    <w:rsid w:val="00867264"/>
    <w:rsid w:val="008707B1"/>
    <w:rsid w:val="00877043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857B3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22C69"/>
    <w:rsid w:val="00B339F5"/>
    <w:rsid w:val="00B46D91"/>
    <w:rsid w:val="00B46F30"/>
    <w:rsid w:val="00B56990"/>
    <w:rsid w:val="00B60B0B"/>
    <w:rsid w:val="00B65EFA"/>
    <w:rsid w:val="00B703A3"/>
    <w:rsid w:val="00B83F26"/>
    <w:rsid w:val="00B86C62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0CFC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B68"/>
    <w:rsid w:val="00EB0ADA"/>
    <w:rsid w:val="00EB0B59"/>
    <w:rsid w:val="00EB52B7"/>
    <w:rsid w:val="00EC15E6"/>
    <w:rsid w:val="00EC3B1D"/>
    <w:rsid w:val="00ED0669"/>
    <w:rsid w:val="00ED2890"/>
    <w:rsid w:val="00ED5752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39B6F-94BF-4E72-B231-430B4817B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3548</Words>
  <Characters>21294</Characters>
  <Application>Microsoft Office Word</Application>
  <DocSecurity>0</DocSecurity>
  <Lines>177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</cp:revision>
  <cp:lastPrinted>2021-02-12T20:30:00Z</cp:lastPrinted>
  <dcterms:created xsi:type="dcterms:W3CDTF">2023-03-20T14:02:00Z</dcterms:created>
  <dcterms:modified xsi:type="dcterms:W3CDTF">2023-03-21T11:22:00Z</dcterms:modified>
</cp:coreProperties>
</file>