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C8280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02C1D" w:rsidRPr="007C5899" w:rsidTr="00043498">
        <w:tc>
          <w:tcPr>
            <w:tcW w:w="2410" w:type="dxa"/>
            <w:vAlign w:val="center"/>
          </w:tcPr>
          <w:p w:rsidR="00402C1D" w:rsidRPr="007C5899" w:rsidRDefault="00402C1D" w:rsidP="00402C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02C1D" w:rsidRPr="007C5899" w:rsidRDefault="00402C1D" w:rsidP="00402C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C318A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9403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C8280A">
        <w:trPr>
          <w:trHeight w:val="282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5A398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5A3986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5A3986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  <w:tr w:rsidR="005C18FC" w:rsidRPr="007C5899" w:rsidTr="005A3986">
        <w:tc>
          <w:tcPr>
            <w:tcW w:w="568" w:type="dxa"/>
            <w:vAlign w:val="center"/>
          </w:tcPr>
          <w:p w:rsidR="005C18FC" w:rsidRPr="0061045C" w:rsidRDefault="005C18FC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C18FC" w:rsidRPr="0061045C" w:rsidRDefault="005C18FC" w:rsidP="005C18F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 xml:space="preserve">i moczową. 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0" w:name="_Hlk114037980"/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W3,W7,Sk1,Sk2,Sk6-Sk8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W5,Sk4,Sk5,Sk8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W6,W7,W8,W9,Sk3,Sk8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W11,W12,Sk8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W4,W10,Sk8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W1,W2,W13,Sk8</w:t>
            </w:r>
          </w:p>
        </w:tc>
      </w:tr>
      <w:bookmarkEnd w:id="0"/>
      <w:tr w:rsidR="00E30C21" w:rsidRPr="007C5899" w:rsidTr="00C9403C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C9403C">
              <w:rPr>
                <w:rFonts w:ascii="Tahoma" w:hAnsi="Tahoma" w:cs="Tahoma"/>
              </w:rPr>
              <w:t>P_K0</w:t>
            </w:r>
            <w:r w:rsidR="00CC0550" w:rsidRPr="00C9403C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58576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C1, </w:t>
            </w:r>
            <w:r w:rsidR="004332B5" w:rsidRPr="00C9403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C9403C">
              <w:rPr>
                <w:rFonts w:ascii="Tahoma" w:hAnsi="Tahoma" w:cs="Tahoma"/>
                <w:color w:val="auto"/>
              </w:rPr>
              <w:t>S</w:t>
            </w:r>
            <w:r w:rsidR="002A14EA" w:rsidRPr="00C9403C">
              <w:rPr>
                <w:rFonts w:ascii="Tahoma" w:hAnsi="Tahoma" w:cs="Tahoma"/>
                <w:color w:val="auto"/>
              </w:rPr>
              <w:t>K</w:t>
            </w:r>
            <w:r w:rsidRPr="00C9403C">
              <w:rPr>
                <w:rFonts w:ascii="Tahoma" w:hAnsi="Tahoma" w:cs="Tahoma"/>
                <w:color w:val="auto"/>
              </w:rPr>
              <w:t xml:space="preserve">1 – </w:t>
            </w:r>
            <w:r w:rsidR="004D62C6" w:rsidRPr="00C9403C">
              <w:rPr>
                <w:rFonts w:ascii="Tahoma" w:hAnsi="Tahoma" w:cs="Tahoma"/>
                <w:color w:val="auto"/>
              </w:rPr>
              <w:t>SK</w:t>
            </w:r>
            <w:r w:rsidRPr="00C9403C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667C" w:rsidRPr="007C5899" w:rsidTr="000A1541">
        <w:tc>
          <w:tcPr>
            <w:tcW w:w="1418" w:type="dxa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</w:t>
            </w:r>
          </w:p>
        </w:tc>
        <w:tc>
          <w:tcPr>
            <w:tcW w:w="3260" w:type="dxa"/>
            <w:vAlign w:val="center"/>
          </w:tcPr>
          <w:p w:rsidR="0077667C" w:rsidRPr="007C5899" w:rsidRDefault="0077667C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A1541">
        <w:tc>
          <w:tcPr>
            <w:tcW w:w="1418" w:type="dxa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7667C" w:rsidRPr="007C5899" w:rsidRDefault="0077667C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2054A6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12E7F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12E7F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2054A6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C055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lastRenderedPageBreak/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6B70" w:rsidRPr="00F60072" w:rsidRDefault="00ED3F31" w:rsidP="00F6007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Pr="007C5899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czynniki ryzyka i zagrożenia zdrowotne u pacjentów w różnym wieku.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P_W02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P_W03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P_W04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rodzaje badań diagnostycznych i zasady ich zlecania.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P_W05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F60072" w:rsidRPr="00850884" w:rsidTr="00BF6BAB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P_W06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 właściwości grup leków i ich działania na układy i narz</w:t>
            </w:r>
            <w:bookmarkStart w:id="1" w:name="_GoBack"/>
            <w:bookmarkEnd w:id="1"/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ądy pacjenta w różnych chorobach w zależności od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60% właściwości grup leków i ich działanie na układy i narządy pacjenta w różnych chorobach w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76% właściwości grup leków i ich działanie na układy i narządy pacjenta w różnych chorobach w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93% właściwości grup leków i ich działanie na układy i narządy pacjenta w różnych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chorobach w zależności od wieku i stanu zdrowia, z uwzględnieniem działań niepożądanych, interakcji z innymi lekami i dróg podania.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standardów i procedur pielęgniarskich stosowanych w opiece nad pacjentem w różnym wieku i stanie zdrowia.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standardy i procedury pielęgniarskie stosowane w opiece nad pacjentem w różnym wieku i stanie zdrowia.</w:t>
            </w:r>
          </w:p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standardy i procedury pielęgniarskie stosowane w opiece nad pacjentem w różnym wieku i stanie zdrowia.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zna i nie rozumie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60%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76%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93%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operacyjnym).</w:t>
            </w:r>
          </w:p>
        </w:tc>
      </w:tr>
      <w:tr w:rsidR="0048187F" w:rsidRPr="007C5899" w:rsidTr="005A3986">
        <w:tc>
          <w:tcPr>
            <w:tcW w:w="1418" w:type="dxa"/>
            <w:vMerge w:val="restart"/>
            <w:vAlign w:val="center"/>
          </w:tcPr>
          <w:p w:rsidR="0048187F" w:rsidRPr="00D8565B" w:rsidRDefault="000B6B70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C940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C318A4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C318A4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C318A4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73C" w:rsidRDefault="001A573C">
      <w:r>
        <w:separator/>
      </w:r>
    </w:p>
  </w:endnote>
  <w:endnote w:type="continuationSeparator" w:id="0">
    <w:p w:rsidR="001A573C" w:rsidRDefault="001A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280A" w:rsidRDefault="00C828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8280A" w:rsidRPr="005D2001" w:rsidRDefault="00C8280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73C" w:rsidRDefault="001A573C">
      <w:r>
        <w:separator/>
      </w:r>
    </w:p>
  </w:footnote>
  <w:footnote w:type="continuationSeparator" w:id="0">
    <w:p w:rsidR="001A573C" w:rsidRDefault="001A5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8280A" w:rsidRDefault="004D471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6B70"/>
    <w:rsid w:val="000B7F0E"/>
    <w:rsid w:val="000C41C8"/>
    <w:rsid w:val="000D0CBE"/>
    <w:rsid w:val="000D6CF0"/>
    <w:rsid w:val="000D7D8F"/>
    <w:rsid w:val="000E0A4A"/>
    <w:rsid w:val="000E549E"/>
    <w:rsid w:val="000F2325"/>
    <w:rsid w:val="000F7D9B"/>
    <w:rsid w:val="001106D3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A573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2B6C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2C1D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32B5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4711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85768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7667C"/>
    <w:rsid w:val="007800B6"/>
    <w:rsid w:val="007844B8"/>
    <w:rsid w:val="00786A38"/>
    <w:rsid w:val="00790329"/>
    <w:rsid w:val="0079042D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1D50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0516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18A4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280A"/>
    <w:rsid w:val="00C87F53"/>
    <w:rsid w:val="00C9403C"/>
    <w:rsid w:val="00C947FB"/>
    <w:rsid w:val="00CA72CE"/>
    <w:rsid w:val="00CB1639"/>
    <w:rsid w:val="00CB5513"/>
    <w:rsid w:val="00CB59CC"/>
    <w:rsid w:val="00CB6180"/>
    <w:rsid w:val="00CC055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0072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888C7EE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93DF6-F397-4743-B9A7-7B3A850F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2352</Words>
  <Characters>14112</Characters>
  <Application>Microsoft Office Word</Application>
  <DocSecurity>0</DocSecurity>
  <Lines>117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2022-09-14T06:36:00Z</cp:lastPrinted>
  <dcterms:created xsi:type="dcterms:W3CDTF">2023-03-20T11:31:00Z</dcterms:created>
  <dcterms:modified xsi:type="dcterms:W3CDTF">2023-03-21T13:28:00Z</dcterms:modified>
</cp:coreProperties>
</file>