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:rsidR="003F7B9B" w:rsidRPr="0001795B" w:rsidRDefault="003F7B9B" w:rsidP="003F7B9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:rsidR="003F7B9B" w:rsidRPr="00931F5B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652582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F7B9B" w:rsidRDefault="00CA52EB" w:rsidP="00E12441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15B9">
              <w:rPr>
                <w:rFonts w:ascii="Tahoma" w:hAnsi="Tahoma" w:cs="Tahoma"/>
                <w:b w:val="0"/>
              </w:rPr>
              <w:t>21</w:t>
            </w:r>
            <w:r>
              <w:rPr>
                <w:rFonts w:ascii="Tahoma" w:hAnsi="Tahoma" w:cs="Tahoma"/>
                <w:b w:val="0"/>
              </w:rPr>
              <w:t>/202</w:t>
            </w:r>
            <w:r w:rsidR="00A215B9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CC137F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C137F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3F7B9B" w:rsidRPr="00CC137F" w:rsidRDefault="007745CB" w:rsidP="007076C9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międzynarodowa w biznesie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F7B9B" w:rsidRPr="00DF5C11" w:rsidRDefault="00911F42" w:rsidP="007076C9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WSIiZ</w:t>
            </w:r>
          </w:p>
        </w:tc>
      </w:tr>
    </w:tbl>
    <w:p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B9B" w:rsidRPr="00D465B9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931F5B" w:rsidTr="007076C9">
        <w:tc>
          <w:tcPr>
            <w:tcW w:w="9778" w:type="dxa"/>
          </w:tcPr>
          <w:p w:rsidR="003F7B9B" w:rsidRPr="00A45247" w:rsidRDefault="003F7B9B" w:rsidP="007076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F7B9B" w:rsidRPr="0001795B" w:rsidTr="007076C9">
        <w:tc>
          <w:tcPr>
            <w:tcW w:w="675" w:type="dxa"/>
            <w:vAlign w:val="center"/>
          </w:tcPr>
          <w:p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3F7B9B" w:rsidRPr="00A57D3F" w:rsidRDefault="003F7B9B" w:rsidP="007076C9">
            <w:pPr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3F7B9B" w:rsidRPr="0001795B" w:rsidTr="007076C9">
        <w:tc>
          <w:tcPr>
            <w:tcW w:w="675" w:type="dxa"/>
            <w:vAlign w:val="center"/>
          </w:tcPr>
          <w:p w:rsidR="003F7B9B" w:rsidRPr="00016A5B" w:rsidRDefault="003F7B9B" w:rsidP="007076C9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3F7B9B" w:rsidRPr="00A57D3F" w:rsidRDefault="003F7B9B" w:rsidP="007076C9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3F7B9B" w:rsidRPr="0001795B" w:rsidTr="007076C9">
        <w:tc>
          <w:tcPr>
            <w:tcW w:w="675" w:type="dxa"/>
            <w:vAlign w:val="center"/>
          </w:tcPr>
          <w:p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3F7B9B" w:rsidRPr="00A57D3F" w:rsidRDefault="003F7B9B" w:rsidP="007076C9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proofErr w:type="spellStart"/>
            <w:r>
              <w:rPr>
                <w:sz w:val="22"/>
              </w:rPr>
              <w:t>para</w:t>
            </w:r>
            <w:r w:rsidRPr="00A57D3F">
              <w:rPr>
                <w:sz w:val="22"/>
              </w:rPr>
              <w:t>językowej</w:t>
            </w:r>
            <w:proofErr w:type="spellEnd"/>
            <w:r w:rsidRPr="00A57D3F">
              <w:rPr>
                <w:sz w:val="22"/>
              </w:rPr>
              <w:t xml:space="preserve">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CD3924">
        <w:rPr>
          <w:rFonts w:ascii="Tahoma" w:hAnsi="Tahoma" w:cs="Tahoma"/>
        </w:rPr>
        <w:t xml:space="preserve">efekty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</w:rPr>
        <w:t xml:space="preserve">, </w:t>
      </w:r>
      <w:r w:rsidR="00CC137F" w:rsidRPr="00CD3924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E12441" w:rsidRPr="00CD3924" w:rsidTr="00E1244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C137F"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Odniesienie do efektów</w:t>
            </w:r>
          </w:p>
          <w:p w:rsidR="00E12441" w:rsidRPr="00CD3924" w:rsidRDefault="00CC137F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  <w:r w:rsidRPr="00CD3924">
              <w:rPr>
                <w:rFonts w:ascii="Tahoma" w:hAnsi="Tahoma" w:cs="Tahoma"/>
                <w:lang w:val="pl-PL"/>
              </w:rPr>
              <w:t xml:space="preserve"> </w:t>
            </w:r>
            <w:r w:rsidR="00E12441" w:rsidRPr="00CD3924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F7B9B" w:rsidRPr="0001795B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:rsidR="00E12441" w:rsidRPr="00016A5B" w:rsidRDefault="00652582" w:rsidP="00E12441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3F7B9B" w:rsidRPr="0001795B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4C1265" w:rsidRPr="0001795B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C1265" w:rsidRPr="00016A5B" w:rsidRDefault="004C1265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:rsidR="00E12441" w:rsidRPr="00F10246" w:rsidRDefault="00E12441" w:rsidP="00FD6C9B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:rsidR="003F7B9B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7B9B" w:rsidRPr="00307065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F7B9B" w:rsidRPr="0001795B" w:rsidTr="007076C9">
        <w:tc>
          <w:tcPr>
            <w:tcW w:w="9778" w:type="dxa"/>
            <w:gridSpan w:val="8"/>
            <w:vAlign w:val="center"/>
          </w:tcPr>
          <w:p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3F7B9B" w:rsidRPr="0001795B" w:rsidTr="007076C9"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16A5B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16A5B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F7B9B" w:rsidRPr="0001795B" w:rsidTr="007076C9"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EB4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1</w:t>
            </w:r>
            <w:r w:rsidR="00EB44F3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F7B9B" w:rsidRPr="00016A5B" w:rsidRDefault="00EB44F3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F7B9B" w:rsidRPr="00016A5B" w:rsidRDefault="004C1265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3F7B9B" w:rsidRPr="006E6720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7B9B" w:rsidRPr="00307065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F7B9B" w:rsidRPr="0001795B" w:rsidTr="007076C9">
        <w:tc>
          <w:tcPr>
            <w:tcW w:w="2127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F7B9B" w:rsidRPr="0001795B" w:rsidTr="007076C9">
        <w:tc>
          <w:tcPr>
            <w:tcW w:w="2127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Metoda ćwiczeniowa i problemowa z wykorzystaniem materiałów autentycznych</w:t>
            </w:r>
          </w:p>
        </w:tc>
      </w:tr>
      <w:tr w:rsidR="003F7B9B" w:rsidRPr="0001795B" w:rsidTr="007076C9">
        <w:tc>
          <w:tcPr>
            <w:tcW w:w="2127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Samodzielne rozwinięcie wybranych tematów z zakresu przedmiotu</w:t>
            </w:r>
          </w:p>
        </w:tc>
      </w:tr>
    </w:tbl>
    <w:p w:rsidR="003F7B9B" w:rsidRPr="00D465B9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7B9B" w:rsidRPr="00D465B9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3F7B9B" w:rsidRPr="0001795B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EB44F3" w:rsidRPr="0001795B" w:rsidTr="0025451B">
        <w:tc>
          <w:tcPr>
            <w:tcW w:w="568" w:type="dxa"/>
            <w:vAlign w:val="center"/>
          </w:tcPr>
          <w:p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 xml:space="preserve">. Przedstawienie tekstu reklamowego jako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makroaktu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mowy (funkcja perswazyjna a intencje cząstkowe reklamy).</w:t>
            </w:r>
          </w:p>
        </w:tc>
      </w:tr>
      <w:tr w:rsidR="00EB44F3" w:rsidRPr="0001795B" w:rsidTr="0025451B">
        <w:tc>
          <w:tcPr>
            <w:tcW w:w="568" w:type="dxa"/>
            <w:vAlign w:val="center"/>
          </w:tcPr>
          <w:p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Najważniejsze cechy komunikatu reklamowego: atrakcyjność, sugestywność, zrozumiałość, zapamiętywanie, zwięzłość, oryginalność. Językowe środki wartościowania w tekście reklamy – słowotwórcze, leksykalno-gramatyczne, składniowe, stylistyczne. Wykorzystanie środków poetyckich w reklamie; zabawa rymem i stałymi związkami frazeologicznymi. Konstrukcja sloganów. </w:t>
            </w:r>
          </w:p>
        </w:tc>
      </w:tr>
      <w:tr w:rsidR="00EB44F3" w:rsidRPr="0001795B" w:rsidTr="0025451B">
        <w:tc>
          <w:tcPr>
            <w:tcW w:w="568" w:type="dxa"/>
            <w:vAlign w:val="center"/>
          </w:tcPr>
          <w:p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 xml:space="preserve">Zewnętrzne uwarunkowania wyboru środków językowych w tekście reklamy (odbiorca, kontekst, kanał przekazu itp.). Elementy </w:t>
            </w:r>
            <w:proofErr w:type="spellStart"/>
            <w:r w:rsidRPr="00B832BE">
              <w:rPr>
                <w:rFonts w:ascii="Tahoma" w:hAnsi="Tahoma" w:cs="Tahoma"/>
                <w:sz w:val="20"/>
                <w:szCs w:val="20"/>
              </w:rPr>
              <w:t>parajęzykowe</w:t>
            </w:r>
            <w:proofErr w:type="spellEnd"/>
            <w:r w:rsidRPr="00B832BE">
              <w:rPr>
                <w:rFonts w:ascii="Tahoma" w:hAnsi="Tahoma" w:cs="Tahoma"/>
                <w:sz w:val="20"/>
                <w:szCs w:val="20"/>
              </w:rPr>
              <w:t xml:space="preserve">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EB44F3" w:rsidRPr="0001795B" w:rsidTr="0025451B">
        <w:tc>
          <w:tcPr>
            <w:tcW w:w="568" w:type="dxa"/>
            <w:vAlign w:val="center"/>
          </w:tcPr>
          <w:p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Język przekazów reklamowych jako najwyższa forma ukonstytuowania każdego przekaz dyskursu medialnego i publicznego mającego funkcje perswazyjne. Wykorzystanie narzędzi analizy językowej i krytycznej do odkrywania perswazyjnego wymiaru dyskursów.</w:t>
            </w:r>
          </w:p>
        </w:tc>
      </w:tr>
    </w:tbl>
    <w:p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3F7B9B" w:rsidRPr="0001795B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F7B9B" w:rsidRPr="0001795B" w:rsidTr="007076C9">
        <w:tc>
          <w:tcPr>
            <w:tcW w:w="568" w:type="dxa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3F7B9B" w:rsidRPr="00016A5B" w:rsidRDefault="003F7B9B" w:rsidP="007076C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Samodzielne rozwinięcie wybranych tematów z zakresu przedmiotu np. w formie krytycznej analizy przekazu reklamowego, </w:t>
            </w:r>
            <w:proofErr w:type="spellStart"/>
            <w:r w:rsidRPr="00016A5B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016A5B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016A5B">
              <w:rPr>
                <w:rFonts w:ascii="Tahoma" w:hAnsi="Tahoma" w:cs="Tahoma"/>
                <w:lang w:val="pl-PL"/>
              </w:rPr>
              <w:t>studies</w:t>
            </w:r>
            <w:proofErr w:type="spellEnd"/>
          </w:p>
        </w:tc>
      </w:tr>
    </w:tbl>
    <w:p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CD3924">
        <w:rPr>
          <w:rFonts w:ascii="Tahoma" w:hAnsi="Tahoma" w:cs="Tahoma"/>
          <w:spacing w:val="-8"/>
        </w:rPr>
        <w:t xml:space="preserve">efektami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F7B9B" w:rsidRPr="00CD3924" w:rsidTr="007076C9">
        <w:tc>
          <w:tcPr>
            <w:tcW w:w="3261" w:type="dxa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</w:tbl>
    <w:p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t xml:space="preserve">Metody weryfikacji efektów </w:t>
      </w:r>
      <w:r w:rsidR="00CC137F" w:rsidRPr="00CD3924">
        <w:rPr>
          <w:rFonts w:ascii="Tahoma" w:hAnsi="Tahoma" w:cs="Tahoma"/>
        </w:rPr>
        <w:t>uczenia się</w:t>
      </w:r>
      <w:r w:rsidR="00CC137F" w:rsidRPr="00CD3924">
        <w:rPr>
          <w:rFonts w:ascii="Tahoma" w:hAnsi="Tahoma" w:cs="Tahoma"/>
          <w:b w:val="0"/>
          <w:sz w:val="20"/>
        </w:rPr>
        <w:t xml:space="preserve"> </w:t>
      </w:r>
      <w:r w:rsidRPr="00CD392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F7B9B" w:rsidRPr="00CD3924" w:rsidRDefault="00B53FF9" w:rsidP="00B53F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perswazyjnych, prezentacja sposobu i wyników pracy własnej podczas zajęć, </w:t>
            </w:r>
            <w:r w:rsidRPr="00CD3924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proofErr w:type="spellStart"/>
            <w:r w:rsidRPr="00CD3924">
              <w:rPr>
                <w:rFonts w:ascii="Tahoma" w:hAnsi="Tahoma" w:cs="Tahoma"/>
                <w:b w:val="0"/>
                <w:bCs/>
                <w:sz w:val="20"/>
              </w:rPr>
              <w:t>adanie</w:t>
            </w:r>
            <w:proofErr w:type="spellEnd"/>
            <w:r w:rsidRPr="00CD3924">
              <w:rPr>
                <w:rFonts w:ascii="Tahoma" w:hAnsi="Tahoma" w:cs="Tahoma"/>
                <w:b w:val="0"/>
                <w:bCs/>
                <w:sz w:val="20"/>
              </w:rPr>
              <w:t xml:space="preserve"> praktyczne </w:t>
            </w:r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wysoko- i </w:t>
            </w:r>
            <w:proofErr w:type="spellStart"/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>niskosymulowane</w:t>
            </w:r>
            <w:proofErr w:type="spellEnd"/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kolokwium pisemnego lub </w:t>
            </w:r>
            <w:r w:rsidRPr="00CD3924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, opracowanie tekstu projektu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B9B" w:rsidRPr="00CD3924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lastRenderedPageBreak/>
        <w:t xml:space="preserve">Kryteria oceny osiągniętych efektów </w:t>
      </w:r>
      <w:r w:rsidR="00CC137F" w:rsidRPr="00CD39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F7B9B" w:rsidRPr="00CD3924" w:rsidTr="007076C9">
        <w:trPr>
          <w:trHeight w:val="397"/>
        </w:trPr>
        <w:tc>
          <w:tcPr>
            <w:tcW w:w="1135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Efekt</w:t>
            </w:r>
          </w:p>
          <w:p w:rsidR="003F7B9B" w:rsidRPr="00CD3924" w:rsidRDefault="00CC137F" w:rsidP="007076C9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2</w:t>
            </w:r>
          </w:p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3</w:t>
            </w:r>
          </w:p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4</w:t>
            </w:r>
          </w:p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5</w:t>
            </w:r>
          </w:p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 funkcje i rozpoznać główne 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dostrzegać wyraźne celowe zabiegi językowe w tekście reklamowym i ich główne funkcje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różne celowe zabiegi językowe w tekście reklamowym i szeroko opisać ich funkcje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reklamach, ale w ograniczonym zakresie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zr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roli narzędzi językowych w tworzeniu udanej reklamy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niektórych narzędzi językowych w tworzeniu udanej reklamy 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 xml:space="preserve">ozumieć rolę różnych narzędzi językowych, a także </w:t>
            </w:r>
            <w:proofErr w:type="spellStart"/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parajęzykowych</w:t>
            </w:r>
            <w:proofErr w:type="spellEnd"/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, w tworzeniu udanej reklamy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01795B" w:rsidTr="007076C9">
        <w:tc>
          <w:tcPr>
            <w:tcW w:w="9778" w:type="dxa"/>
          </w:tcPr>
          <w:p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F7B9B" w:rsidRPr="0001795B" w:rsidTr="007076C9">
        <w:tc>
          <w:tcPr>
            <w:tcW w:w="9778" w:type="dxa"/>
            <w:vAlign w:val="center"/>
          </w:tcPr>
          <w:p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 xml:space="preserve">Lubaś Władysław (2006) Język w komunikacji w perswazji i w reklamie. </w:t>
            </w:r>
            <w:hyperlink r:id="rId8" w:tooltip="Zobacz wszystkie książki wydawnictwa Wyższa Szkoła Biznesu" w:history="1">
              <w:r w:rsidRPr="00016A5B">
                <w:rPr>
                  <w:rFonts w:cs="Tahoma"/>
                  <w:sz w:val="22"/>
                  <w:lang w:val="pl-PL"/>
                </w:rPr>
                <w:t>Wyższa Szkoła Biznesu</w:t>
              </w:r>
            </w:hyperlink>
            <w:r w:rsidRPr="00016A5B">
              <w:rPr>
                <w:rFonts w:cs="Tahoma"/>
                <w:sz w:val="22"/>
                <w:lang w:val="pl-PL"/>
              </w:rPr>
              <w:t xml:space="preserve"> </w:t>
            </w:r>
          </w:p>
        </w:tc>
      </w:tr>
      <w:tr w:rsidR="003F7B9B" w:rsidRPr="0001795B" w:rsidTr="007076C9">
        <w:tc>
          <w:tcPr>
            <w:tcW w:w="9778" w:type="dxa"/>
            <w:vAlign w:val="center"/>
          </w:tcPr>
          <w:p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Chłopicki, Władysław, Świątek, Jerzy. (2000). Angielski w polskiej reklamie. PWN.</w:t>
            </w:r>
          </w:p>
        </w:tc>
      </w:tr>
      <w:tr w:rsidR="003F7B9B" w:rsidRPr="002B5B5A" w:rsidTr="007076C9">
        <w:tc>
          <w:tcPr>
            <w:tcW w:w="9778" w:type="dxa"/>
            <w:vAlign w:val="center"/>
          </w:tcPr>
          <w:p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proofErr w:type="spellStart"/>
            <w:r w:rsidRPr="00016A5B">
              <w:rPr>
                <w:rFonts w:cs="Tahoma"/>
                <w:sz w:val="22"/>
                <w:lang w:val="pl-PL"/>
              </w:rPr>
              <w:t>Smid</w:t>
            </w:r>
            <w:proofErr w:type="spellEnd"/>
            <w:r w:rsidRPr="00016A5B">
              <w:rPr>
                <w:rFonts w:cs="Tahoma"/>
                <w:sz w:val="22"/>
                <w:lang w:val="pl-PL"/>
              </w:rPr>
              <w:t xml:space="preserve">, Wacław (2008). Język reklamy w komunikacji medialnej. Warszawa: </w:t>
            </w:r>
            <w:proofErr w:type="spellStart"/>
            <w:r w:rsidRPr="00016A5B">
              <w:rPr>
                <w:rFonts w:cs="Tahoma"/>
                <w:sz w:val="22"/>
                <w:lang w:val="pl-PL"/>
              </w:rPr>
              <w:t>CeDeWu</w:t>
            </w:r>
            <w:proofErr w:type="spellEnd"/>
            <w:r w:rsidRPr="00016A5B">
              <w:rPr>
                <w:rFonts w:cs="Tahoma"/>
                <w:sz w:val="22"/>
                <w:lang w:val="pl-PL"/>
              </w:rPr>
              <w:t>.</w:t>
            </w:r>
          </w:p>
        </w:tc>
      </w:tr>
      <w:tr w:rsidR="003F7B9B" w:rsidRPr="002B5B5A" w:rsidTr="007076C9">
        <w:tc>
          <w:tcPr>
            <w:tcW w:w="9778" w:type="dxa"/>
            <w:vAlign w:val="center"/>
          </w:tcPr>
          <w:p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Batko, Andrzej (2005). Sztuka perswazji czyli Język wpływu i manipulacji. Gliwice: "Helion".</w:t>
            </w:r>
          </w:p>
        </w:tc>
      </w:tr>
    </w:tbl>
    <w:p w:rsidR="003F7B9B" w:rsidRPr="00964390" w:rsidRDefault="003F7B9B" w:rsidP="003F7B9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01795B" w:rsidTr="007076C9">
        <w:tc>
          <w:tcPr>
            <w:tcW w:w="9778" w:type="dxa"/>
          </w:tcPr>
          <w:p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de-DE"/>
              </w:rPr>
              <w:t xml:space="preserve">Ungerer F., Schmid, H. J. (1996). </w:t>
            </w:r>
            <w:r w:rsidRPr="002B5B5A">
              <w:rPr>
                <w:rFonts w:cs="Tahoma"/>
                <w:b w:val="0"/>
                <w:szCs w:val="22"/>
                <w:lang w:val="en-GB"/>
              </w:rPr>
              <w:t>An Introduction to Cognitive Linguistics. Longman.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en-GB"/>
              </w:rPr>
              <w:t xml:space="preserve">Dahl H. (1993). The Pragmatics of Persuasion. </w:t>
            </w: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Forlag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Readon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, K. (1991). Persuasion in Practice. Newbury.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2B5B5A" w:rsidRDefault="00C46660" w:rsidP="00016A5B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Lizak J. (2006)</w:t>
            </w:r>
            <w:r w:rsidRPr="002B5B5A">
              <w:rPr>
                <w:sz w:val="22"/>
              </w:rPr>
              <w:t xml:space="preserve"> Język reklam dla dzieci</w:t>
            </w:r>
            <w:r>
              <w:rPr>
                <w:sz w:val="22"/>
              </w:rPr>
              <w:t>. Wyd. Uniwersytetu Rzeszowskiego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2B5B5A" w:rsidRDefault="00C46660" w:rsidP="00016A5B">
            <w:pPr>
              <w:spacing w:after="0" w:line="240" w:lineRule="auto"/>
              <w:rPr>
                <w:sz w:val="22"/>
              </w:rPr>
            </w:pPr>
            <w:r w:rsidRPr="002B5B5A">
              <w:rPr>
                <w:sz w:val="22"/>
              </w:rPr>
              <w:t>Lewiński P. H.</w:t>
            </w:r>
            <w:r>
              <w:rPr>
                <w:sz w:val="22"/>
              </w:rPr>
              <w:t xml:space="preserve"> (2008)</w:t>
            </w:r>
            <w:r w:rsidRPr="002B5B5A">
              <w:rPr>
                <w:sz w:val="22"/>
              </w:rPr>
              <w:t xml:space="preserve"> Retoryka reklamy</w:t>
            </w:r>
            <w:r>
              <w:rPr>
                <w:sz w:val="22"/>
              </w:rPr>
              <w:t>. Wyd. Uniwersytetu Wrocławskiego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2B5B5A" w:rsidRDefault="00C46660" w:rsidP="00016A5B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Albin K. (2002)</w:t>
            </w:r>
            <w:r w:rsidRPr="002B5B5A">
              <w:rPr>
                <w:sz w:val="22"/>
              </w:rPr>
              <w:t xml:space="preserve"> Reklama, przekaz, odbiór, interpretacja</w:t>
            </w:r>
            <w:r>
              <w:rPr>
                <w:sz w:val="22"/>
              </w:rPr>
              <w:t>. PWN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Świątek, Jerzy. (2000). "Efekty retoryczne w przekazach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mediowych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" [w:] (red. G. Szpila)</w:t>
            </w:r>
          </w:p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Język Trzeciego Tysiąclecia,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Tertium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225-235.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Świątek, Jerzy (2002). "Informacja a perswazja w tekście reklamowym" [w:] (red. G.</w:t>
            </w:r>
          </w:p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Szpila) Język Trzeciego Tysiąclecia,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Tertium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313-323.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Rusinek, Michał,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Załazińska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Aneta. (2005). Retoryka podręczna, czyli jak wnikliwie słuchać</w:t>
            </w:r>
          </w:p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i przekonująco mówić. Znak.</w:t>
            </w:r>
          </w:p>
        </w:tc>
      </w:tr>
      <w:tr w:rsidR="00C46660" w:rsidRPr="002B5B5A" w:rsidTr="00016A5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Grochowski, Robert (2012). Proces komunikacyjny w dyskursie reklamowym : specyfika i skutki. Opole: Wydaw. Naukowe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Scriptorium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.</w:t>
            </w:r>
          </w:p>
        </w:tc>
      </w:tr>
    </w:tbl>
    <w:p w:rsidR="003F7B9B" w:rsidRPr="008D7DA9" w:rsidRDefault="003F7B9B" w:rsidP="003F7B9B">
      <w:pPr>
        <w:spacing w:after="0" w:line="240" w:lineRule="auto"/>
      </w:pPr>
    </w:p>
    <w:p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87BA5" w:rsidRPr="005D2001" w:rsidTr="001D056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87BA5" w:rsidRPr="005D2001" w:rsidTr="001D056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3F7B9B" w:rsidRDefault="003F7B9B" w:rsidP="003F7B9B"/>
    <w:p w:rsidR="0017608D" w:rsidRDefault="0017608D"/>
    <w:sectPr w:rsidR="0017608D" w:rsidSect="00E60729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F5C" w:rsidRDefault="00276F5C" w:rsidP="00016A5B">
      <w:pPr>
        <w:spacing w:after="0" w:line="240" w:lineRule="auto"/>
      </w:pPr>
      <w:r>
        <w:separator/>
      </w:r>
    </w:p>
  </w:endnote>
  <w:endnote w:type="continuationSeparator" w:id="0">
    <w:p w:rsidR="00276F5C" w:rsidRDefault="00276F5C" w:rsidP="0001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C9" w:rsidRDefault="007076C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076C9" w:rsidRDefault="007076C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C9" w:rsidRPr="0080542D" w:rsidRDefault="007076C9" w:rsidP="007076C9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215B9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F5C" w:rsidRDefault="00276F5C" w:rsidP="00016A5B">
      <w:pPr>
        <w:spacing w:after="0" w:line="240" w:lineRule="auto"/>
      </w:pPr>
      <w:r>
        <w:separator/>
      </w:r>
    </w:p>
  </w:footnote>
  <w:footnote w:type="continuationSeparator" w:id="0">
    <w:p w:rsidR="00276F5C" w:rsidRDefault="00276F5C" w:rsidP="0001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29" w:rsidRDefault="00CC54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15B9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9B"/>
    <w:rsid w:val="000161AB"/>
    <w:rsid w:val="00016A5B"/>
    <w:rsid w:val="00097828"/>
    <w:rsid w:val="00156F94"/>
    <w:rsid w:val="00163AD3"/>
    <w:rsid w:val="0017608D"/>
    <w:rsid w:val="001D056E"/>
    <w:rsid w:val="00230ECC"/>
    <w:rsid w:val="0025451B"/>
    <w:rsid w:val="00276F5C"/>
    <w:rsid w:val="003D5677"/>
    <w:rsid w:val="003F7B9B"/>
    <w:rsid w:val="004C1265"/>
    <w:rsid w:val="00510296"/>
    <w:rsid w:val="00626B21"/>
    <w:rsid w:val="00652582"/>
    <w:rsid w:val="007076C9"/>
    <w:rsid w:val="007178A4"/>
    <w:rsid w:val="007745CB"/>
    <w:rsid w:val="00911F42"/>
    <w:rsid w:val="0096531D"/>
    <w:rsid w:val="009B3F89"/>
    <w:rsid w:val="00A215B9"/>
    <w:rsid w:val="00AE07D5"/>
    <w:rsid w:val="00B53FF9"/>
    <w:rsid w:val="00C46660"/>
    <w:rsid w:val="00C87BA5"/>
    <w:rsid w:val="00C974FB"/>
    <w:rsid w:val="00CA52EB"/>
    <w:rsid w:val="00CC137F"/>
    <w:rsid w:val="00CC547D"/>
    <w:rsid w:val="00CD3924"/>
    <w:rsid w:val="00D34566"/>
    <w:rsid w:val="00D370EF"/>
    <w:rsid w:val="00DE7632"/>
    <w:rsid w:val="00E12441"/>
    <w:rsid w:val="00E60729"/>
    <w:rsid w:val="00E74E2C"/>
    <w:rsid w:val="00EA50F2"/>
    <w:rsid w:val="00EB44F3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B9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B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7B9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F7B9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F7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F7B9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F7B9B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3F7B9B"/>
  </w:style>
  <w:style w:type="paragraph" w:customStyle="1" w:styleId="tekst">
    <w:name w:val="tekst"/>
    <w:rsid w:val="003F7B9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F7B9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F7B9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F7B9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F7B9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F7B9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F7B9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F7B9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F7B9B"/>
    <w:pPr>
      <w:jc w:val="center"/>
    </w:pPr>
  </w:style>
  <w:style w:type="paragraph" w:customStyle="1" w:styleId="rdtytu">
    <w:name w:val="Śródtytuł"/>
    <w:basedOn w:val="Nagwek1"/>
    <w:next w:val="Normalny"/>
    <w:rsid w:val="003F7B9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F7B9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F7B9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3F7B9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3F7B9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3F7B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B9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F7B9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C1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C137F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B9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B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7B9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F7B9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F7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F7B9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F7B9B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3F7B9B"/>
  </w:style>
  <w:style w:type="paragraph" w:customStyle="1" w:styleId="tekst">
    <w:name w:val="tekst"/>
    <w:rsid w:val="003F7B9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F7B9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F7B9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F7B9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F7B9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F7B9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F7B9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F7B9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F7B9B"/>
    <w:pPr>
      <w:jc w:val="center"/>
    </w:pPr>
  </w:style>
  <w:style w:type="paragraph" w:customStyle="1" w:styleId="rdtytu">
    <w:name w:val="Śródtytuł"/>
    <w:basedOn w:val="Nagwek1"/>
    <w:next w:val="Normalny"/>
    <w:rsid w:val="003F7B9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F7B9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F7B9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3F7B9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3F7B9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3F7B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B9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F7B9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C1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C137F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czyk.osdw.pl/wydawca/Wy%BFsza+Szko%B3a+Biznesu,28442;jsessionid=8651EFD8C4E71D5497C78AAA2B83A4D7.s2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6</cp:revision>
  <dcterms:created xsi:type="dcterms:W3CDTF">2021-02-03T16:21:00Z</dcterms:created>
  <dcterms:modified xsi:type="dcterms:W3CDTF">2022-06-08T12:19:00Z</dcterms:modified>
</cp:coreProperties>
</file>