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99"/>
        <w:gridCol w:w="7533"/>
      </w:tblGrid>
      <w:tr w:rsidR="00706D4F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706D4F" w:rsidRDefault="00706D4F">
      <w:pPr>
        <w:spacing w:after="0" w:line="240" w:lineRule="auto"/>
        <w:rPr>
          <w:rFonts w:ascii="Tahoma" w:hAnsi="Tahoma" w:cs="Tahoma"/>
        </w:rPr>
      </w:pPr>
    </w:p>
    <w:p w:rsidR="00706D4F" w:rsidRDefault="00706D4F">
      <w:pPr>
        <w:spacing w:after="0" w:line="240" w:lineRule="auto"/>
        <w:rPr>
          <w:rFonts w:ascii="Tahoma" w:hAnsi="Tahoma" w:cs="Tahoma"/>
        </w:rPr>
      </w:pPr>
    </w:p>
    <w:p w:rsidR="00706D4F" w:rsidRDefault="00C44F0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 xml:space="preserve">karta przedmiotu </w:t>
      </w:r>
    </w:p>
    <w:p w:rsidR="00706D4F" w:rsidRDefault="00706D4F">
      <w:pPr>
        <w:spacing w:after="0" w:line="240" w:lineRule="auto"/>
        <w:rPr>
          <w:rFonts w:ascii="Tahoma" w:hAnsi="Tahoma" w:cs="Tahoma"/>
        </w:rPr>
      </w:pPr>
    </w:p>
    <w:p w:rsidR="00706D4F" w:rsidRDefault="00C44F0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bezpieczeństwem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</w:pPr>
            <w:r>
              <w:rPr>
                <w:rFonts w:ascii="Tahoma" w:hAnsi="Tahoma" w:cs="Tahoma"/>
                <w:b w:val="0"/>
              </w:rPr>
              <w:t>202</w:t>
            </w:r>
            <w:r w:rsidR="0051412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14128">
              <w:rPr>
                <w:rFonts w:ascii="Tahoma" w:hAnsi="Tahoma" w:cs="Tahoma"/>
                <w:b w:val="0"/>
              </w:rPr>
              <w:t>3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706D4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Janusz Maksymowicz</w:t>
            </w:r>
          </w:p>
        </w:tc>
      </w:tr>
      <w:tr w:rsidR="00706D4F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:rsidR="00706D4F" w:rsidRDefault="00C44F0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>
        <w:tc>
          <w:tcPr>
            <w:tcW w:w="9778" w:type="dxa"/>
            <w:shd w:val="clear" w:color="auto" w:fill="auto"/>
          </w:tcPr>
          <w:p w:rsidR="00706D4F" w:rsidRDefault="00C44F0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0"/>
                <w:szCs w:val="20"/>
                <w:lang w:eastAsia="pl-PL"/>
              </w:rPr>
              <w:t>Zarządzanie strategiczne, Zachowania organizacyjne, Zarządzanie jakością, Prawo lotnicze</w:t>
            </w:r>
          </w:p>
        </w:tc>
      </w:tr>
    </w:tbl>
    <w:p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:rsidR="00706D4F" w:rsidRDefault="00C44F0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706D4F">
        <w:tc>
          <w:tcPr>
            <w:tcW w:w="672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podstawami systemu zarządzania bezpieczeństwem w lotnictwie cywilnym  </w:t>
            </w:r>
          </w:p>
        </w:tc>
      </w:tr>
      <w:tr w:rsidR="00706D4F">
        <w:tc>
          <w:tcPr>
            <w:tcW w:w="672" w:type="dxa"/>
            <w:shd w:val="clear" w:color="auto" w:fill="auto"/>
            <w:vAlign w:val="center"/>
          </w:tcPr>
          <w:p w:rsidR="00706D4F" w:rsidRDefault="00C44F0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Zapoznanie studentów z zarządzaniem ryzykiem, zarządzaniem bezpieczeństwem, polityką bezpieczeństwa  </w:t>
            </w:r>
          </w:p>
        </w:tc>
      </w:tr>
      <w:tr w:rsidR="00706D4F">
        <w:tc>
          <w:tcPr>
            <w:tcW w:w="672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Nabycie umiejętności interpretacji polityki bezpieczeństwa, identyfikacji, oceny i łagodzenia zagrożeń, identyfikacji i posługiwaniem się współczynnikami bezpieczeństwa oraz stosowania procedur bezpieczeństwa, </w:t>
            </w:r>
          </w:p>
        </w:tc>
      </w:tr>
    </w:tbl>
    <w:p w:rsidR="00706D4F" w:rsidRDefault="00706D4F">
      <w:pPr>
        <w:pStyle w:val="Punktygwne"/>
        <w:spacing w:before="0" w:after="0"/>
        <w:rPr>
          <w:rFonts w:ascii="Tahoma" w:hAnsi="Tahoma" w:cs="Tahoma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634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0"/>
        <w:gridCol w:w="6164"/>
        <w:gridCol w:w="2900"/>
      </w:tblGrid>
      <w:tr w:rsidR="00706D4F" w:rsidTr="00C44F03">
        <w:trPr>
          <w:cantSplit/>
          <w:trHeight w:val="114"/>
          <w:jc w:val="righ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uczenia się</w:t>
            </w:r>
          </w:p>
          <w:p w:rsidR="00706D4F" w:rsidRDefault="00C44F03">
            <w:pPr>
              <w:pStyle w:val="Nagwkitablic"/>
              <w:widowControl w:val="0"/>
            </w:pPr>
            <w:r>
              <w:rPr>
                <w:rFonts w:ascii="Tahoma" w:hAnsi="Tahoma" w:cs="Tahoma"/>
              </w:rPr>
              <w:t>dla kierunku</w:t>
            </w:r>
          </w:p>
        </w:tc>
      </w:tr>
      <w:tr w:rsidR="00706D4F" w:rsidTr="00C44F03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06D4F" w:rsidTr="00C44F03">
        <w:trPr>
          <w:trHeight w:val="227"/>
          <w:jc w:val="righ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zna podstawowe regulacje dotyczące funkcjonowania systemów bezpieczeństwa w organizacjach lotniczych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K_W06</w:t>
            </w:r>
          </w:p>
          <w:p w:rsidR="00706D4F" w:rsidRDefault="00706D4F">
            <w:pPr>
              <w:pStyle w:val="wrubryce"/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706D4F" w:rsidTr="00C44F03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06D4F" w:rsidTr="00C44F03">
        <w:trPr>
          <w:trHeight w:val="227"/>
          <w:jc w:val="righ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centralnie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prawidłowo posługuje się wybranymi normami, regułami prawnymi i etycznymi dla rozwiązania konkretnego zadania w obszarze zarządzania bezpieczeństwem,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K_U05</w:t>
            </w:r>
          </w:p>
          <w:p w:rsidR="00706D4F" w:rsidRDefault="00706D4F">
            <w:pPr>
              <w:pStyle w:val="wrubryce"/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706D4F" w:rsidTr="00C44F03">
        <w:trPr>
          <w:trHeight w:val="227"/>
          <w:jc w:val="right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06D4F" w:rsidTr="00C44F03">
        <w:trPr>
          <w:trHeight w:val="227"/>
          <w:jc w:val="righ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centralnie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t xml:space="preserve">prawidłowo identyfikuje i rozstrzyga dylematy związane z wykonywaniem pracy na stanowiskach związanych z bezpieczeństwem w </w:t>
            </w:r>
            <w:r>
              <w:rPr>
                <w:rFonts w:ascii="Calibri" w:hAnsi="Calibri" w:cs="Calibri"/>
                <w:color w:val="000000" w:themeColor="text1"/>
                <w:sz w:val="22"/>
                <w:lang w:eastAsia="en-GB"/>
              </w:rPr>
              <w:lastRenderedPageBreak/>
              <w:t>organizacjach lotniczych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K_K04</w:t>
            </w:r>
          </w:p>
          <w:p w:rsidR="00706D4F" w:rsidRDefault="00706D4F">
            <w:pPr>
              <w:pStyle w:val="wrubryce"/>
              <w:widowControl w:val="0"/>
              <w:jc w:val="center"/>
              <w:rPr>
                <w:color w:val="000000" w:themeColor="text1"/>
              </w:rPr>
            </w:pPr>
          </w:p>
        </w:tc>
      </w:tr>
    </w:tbl>
    <w:p w:rsidR="00706D4F" w:rsidRDefault="00706D4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706D4F">
        <w:tc>
          <w:tcPr>
            <w:tcW w:w="9774" w:type="dxa"/>
            <w:gridSpan w:val="8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06D4F">
        <w:tc>
          <w:tcPr>
            <w:tcW w:w="1222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6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06D4F">
        <w:tc>
          <w:tcPr>
            <w:tcW w:w="1222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706D4F" w:rsidRDefault="0051412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51412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14128">
              <w:rPr>
                <w:rFonts w:ascii="Tahoma" w:hAnsi="Tahoma" w:cs="Tahoma"/>
                <w:color w:val="FF0000"/>
              </w:rPr>
              <w:t>30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06D4F" w:rsidRDefault="00C44F0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</w:tblGrid>
      <w:tr w:rsidR="00706D4F" w:rsidTr="00514128">
        <w:tc>
          <w:tcPr>
            <w:tcW w:w="1701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706D4F" w:rsidRDefault="00C44F0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14128" w:rsidTr="00514128">
        <w:tc>
          <w:tcPr>
            <w:tcW w:w="1701" w:type="dxa"/>
            <w:shd w:val="clear" w:color="auto" w:fill="auto"/>
            <w:vAlign w:val="center"/>
          </w:tcPr>
          <w:p w:rsidR="00514128" w:rsidRDefault="00514128" w:rsidP="005141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514128" w:rsidRDefault="00514128" w:rsidP="005141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Studium przypadku, </w:t>
            </w:r>
            <w:r>
              <w:rPr>
                <w:rFonts w:ascii="Tahoma" w:hAnsi="Tahoma" w:cs="Tahoma"/>
                <w:b w:val="0"/>
              </w:rPr>
              <w:t>oparta na szczegółowej analizie konkretnego przypadku, wydarzenia a następnie wyciąganiu wniosków, dokonywaniu porównań, uogólnień.</w:t>
            </w:r>
          </w:p>
          <w:p w:rsidR="00514128" w:rsidRDefault="00514128" w:rsidP="00514128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:rsidR="00514128" w:rsidRDefault="00514128" w:rsidP="005141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:rsidR="00706D4F" w:rsidRDefault="00706D4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706D4F" w:rsidRDefault="00706D4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06D4F" w:rsidRDefault="0051412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06D4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Bezpieczeństwo w lotnictwie wczoraj, dziś i jutro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Zagrożenie i zasady zarządzenia bezpieczeństwem (pięć kroków postepowania z zagrożeniem)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Macierz ryzyka jako narzędzie zarządzania przedsiębiorstwem 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Polityka bezpieczeństwa i polityka </w:t>
            </w:r>
            <w:r>
              <w:rPr>
                <w:rFonts w:ascii="Tahoma" w:hAnsi="Tahoma" w:cs="Tahoma"/>
                <w:i/>
              </w:rPr>
              <w:t xml:space="preserve">Just </w:t>
            </w:r>
            <w:proofErr w:type="spellStart"/>
            <w:r>
              <w:rPr>
                <w:rFonts w:ascii="Tahoma" w:hAnsi="Tahoma" w:cs="Tahoma"/>
                <w:i/>
              </w:rPr>
              <w:t>Culture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Organizacja zarządzania bezpieczeństwem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Identyfikacja, zarządzanie i przeglądu współczynników bezpieczeństwa (SPI)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Procedury systemu zarządzania bezpieczeństwem </w:t>
            </w:r>
          </w:p>
        </w:tc>
      </w:tr>
      <w:tr w:rsidR="00706D4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514128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</w:t>
            </w:r>
            <w:r w:rsidR="00C44F03">
              <w:rPr>
                <w:rFonts w:ascii="Tahoma" w:hAnsi="Tahoma" w:cs="Tahoma"/>
                <w:b w:val="0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Promocja bezpieczeństwa w przedsiębiorstwie lotniczym 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06D4F" w:rsidRDefault="00706D4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706D4F">
        <w:tc>
          <w:tcPr>
            <w:tcW w:w="3260" w:type="dxa"/>
            <w:shd w:val="clear" w:color="auto" w:fill="auto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06D4F">
        <w:tc>
          <w:tcPr>
            <w:tcW w:w="3260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C1, C2, 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706D4F" w:rsidRDefault="0051412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1, </w:t>
            </w:r>
          </w:p>
        </w:tc>
      </w:tr>
      <w:tr w:rsidR="00706D4F">
        <w:tc>
          <w:tcPr>
            <w:tcW w:w="3260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706D4F" w:rsidRDefault="00C44F03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706D4F" w:rsidRDefault="0051412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4,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5,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>6</w:t>
            </w:r>
          </w:p>
        </w:tc>
      </w:tr>
      <w:tr w:rsidR="00706D4F">
        <w:tc>
          <w:tcPr>
            <w:tcW w:w="3260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706D4F" w:rsidRDefault="0051412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>4,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7, </w:t>
            </w:r>
            <w:r>
              <w:rPr>
                <w:rFonts w:ascii="Tahoma" w:hAnsi="Tahoma" w:cs="Tahoma"/>
              </w:rPr>
              <w:t>C</w:t>
            </w:r>
            <w:r w:rsidR="00C44F03">
              <w:rPr>
                <w:rFonts w:ascii="Tahoma" w:hAnsi="Tahoma" w:cs="Tahoma"/>
              </w:rPr>
              <w:t xml:space="preserve">8 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3193"/>
        <w:gridCol w:w="4961"/>
      </w:tblGrid>
      <w:tr w:rsidR="00706D4F">
        <w:tc>
          <w:tcPr>
            <w:tcW w:w="1627" w:type="dxa"/>
            <w:shd w:val="clear" w:color="auto" w:fill="auto"/>
            <w:vAlign w:val="center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06D4F" w:rsidRDefault="00C44F0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06D4F">
        <w:tc>
          <w:tcPr>
            <w:tcW w:w="1627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 – zadania/pytania otwarte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06D4F" w:rsidRDefault="005141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06D4F">
        <w:tc>
          <w:tcPr>
            <w:tcW w:w="1627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Raport (projekt)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06D4F" w:rsidRDefault="005141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06D4F">
        <w:tc>
          <w:tcPr>
            <w:tcW w:w="1627" w:type="dxa"/>
            <w:shd w:val="clear" w:color="auto" w:fill="auto"/>
            <w:vAlign w:val="center"/>
          </w:tcPr>
          <w:p w:rsidR="00706D4F" w:rsidRDefault="00C44F0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 – zadania/pytania otwarte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06D4F" w:rsidRDefault="005141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4"/>
        <w:gridCol w:w="2070"/>
        <w:gridCol w:w="2073"/>
        <w:gridCol w:w="2210"/>
      </w:tblGrid>
      <w:tr w:rsidR="00706D4F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706D4F" w:rsidRDefault="00C44F03">
            <w:pPr>
              <w:pStyle w:val="Nagwkitablic"/>
              <w:widowControl w:val="0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706D4F" w:rsidRDefault="00C44F03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706D4F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ani jednego zadania dotyczącego interpretacji przepisó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>w bezpieczeństwa lotniczego.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podstawowym dotyczącego interpretacji przepisów bezpieczeństwa lotniczego.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średnim dotyczącego interpretacji przepisów bezpieczeństwa lotniczego.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zaawansowanym dotyczącego interpretacji przepisów bezpieczeństwa lotniczego.</w:t>
            </w:r>
          </w:p>
        </w:tc>
      </w:tr>
      <w:tr w:rsidR="00706D4F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dowolnej metody zarządzania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bezpieczeństwem w organizacji lotniczej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Opisać dowolną metodę zarządzania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bezpieczeństwem w organizacji lotniczej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Opisać metodę zarzadzania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bezpieczeństwem w organizacji lotniczej oraz oszacować ryzyka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Opisać metodę zarządzania bezpieczeństwem </w:t>
            </w:r>
            <w:r>
              <w:rPr>
                <w:rFonts w:ascii="Tahoma" w:hAnsi="Tahoma" w:cs="Tahoma"/>
                <w:sz w:val="20"/>
              </w:rPr>
              <w:lastRenderedPageBreak/>
              <w:t xml:space="preserve">w organizacji lotniczej oraz podać działania zapobiegawcze </w:t>
            </w:r>
          </w:p>
        </w:tc>
      </w:tr>
      <w:tr w:rsidR="00706D4F">
        <w:trPr>
          <w:trHeight w:val="22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Tekstpodstawowy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ani jednego zadania dotyczącego systemu zarządzania bezpieczeństwem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podstawowym dotyczącego systemu zarządzania bezpieczeństwem.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średnim dotyczącego systemu zarządzania bezpieczeństwem.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D4F" w:rsidRDefault="00C44F03">
            <w:pPr>
              <w:pStyle w:val="wrubrycemn"/>
              <w:widowControl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zadanie na poziomie zaawansowanym dotyczącego systemu zarządzania bezpieczeństwem.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6D4F" w:rsidRDefault="00C44F0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>
        <w:tc>
          <w:tcPr>
            <w:tcW w:w="9778" w:type="dxa"/>
            <w:shd w:val="clear" w:color="auto" w:fill="auto"/>
          </w:tcPr>
          <w:p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Safety Management Manual ICAO DOC 9859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. 4; 2018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>Safety Management Systems for Commercial Air Transport Operations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CAP-712 CAA UK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. 1; 2002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 xml:space="preserve">Safety Management System Manual; FAA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>wyd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 xml:space="preserve">. 4; 2014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 xml:space="preserve">Part 139 Safety Management System; FAA </w:t>
            </w:r>
          </w:p>
        </w:tc>
      </w:tr>
    </w:tbl>
    <w:p w:rsidR="00706D4F" w:rsidRDefault="00706D4F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GB"/>
        </w:rPr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706D4F">
        <w:tc>
          <w:tcPr>
            <w:tcW w:w="9778" w:type="dxa"/>
            <w:shd w:val="clear" w:color="auto" w:fill="auto"/>
          </w:tcPr>
          <w:p w:rsidR="00706D4F" w:rsidRDefault="00C44F03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 w:eastAsia="pl-PL"/>
              </w:rPr>
              <w:t>Human Factors in Aircraft Maintenance and Inspection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CAP-718; CAA UK;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. 1, 2002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 xml:space="preserve">Fundamental Human Factors Concepts; CAA UK;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 xml:space="preserve">. 1; 2002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r>
              <w:rPr>
                <w:rFonts w:ascii="Tahoma" w:eastAsia="Calibri" w:hAnsi="Tahoma" w:cs="Tahoma"/>
                <w:b w:val="0"/>
                <w:color w:val="000000" w:themeColor="text1"/>
                <w:sz w:val="20"/>
                <w:lang w:val="en-GB"/>
              </w:rPr>
              <w:t xml:space="preserve">Safety Management Systems (SMS) guidance for organisations CAP-795; CAA UK; </w:t>
            </w:r>
            <w:proofErr w:type="spellStart"/>
            <w:r>
              <w:rPr>
                <w:rFonts w:ascii="Tahoma" w:eastAsia="Calibri" w:hAnsi="Tahoma" w:cs="Tahoma"/>
                <w:b w:val="0"/>
                <w:color w:val="000000" w:themeColor="text1"/>
                <w:sz w:val="20"/>
                <w:lang w:val="en-GB"/>
              </w:rPr>
              <w:t>wyd</w:t>
            </w:r>
            <w:proofErr w:type="spellEnd"/>
            <w:r>
              <w:rPr>
                <w:rFonts w:ascii="Tahoma" w:eastAsia="Calibri" w:hAnsi="Tahoma" w:cs="Tahoma"/>
                <w:b w:val="0"/>
                <w:color w:val="000000" w:themeColor="text1"/>
                <w:sz w:val="20"/>
                <w:lang w:val="en-GB"/>
              </w:rPr>
              <w:t xml:space="preserve"> 1, 2015 </w:t>
            </w:r>
          </w:p>
        </w:tc>
      </w:tr>
      <w:tr w:rsidR="00706D4F" w:rsidRPr="00514128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  <w:t xml:space="preserve">Safety Management Systems (SMS) guidance for organisations; CAP-1059; CAA UK;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  <w:t>wyd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pl-PL"/>
              </w:rPr>
              <w:t xml:space="preserve"> 1; 2013 </w:t>
            </w:r>
          </w:p>
        </w:tc>
      </w:tr>
      <w:tr w:rsidR="00706D4F">
        <w:tc>
          <w:tcPr>
            <w:tcW w:w="9778" w:type="dxa"/>
            <w:shd w:val="clear" w:color="auto" w:fill="auto"/>
            <w:vAlign w:val="center"/>
          </w:tcPr>
          <w:p w:rsidR="00706D4F" w:rsidRDefault="00C44F0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Strony internetowe CAA UK, FAA, EASA, ULC </w:t>
            </w:r>
          </w:p>
        </w:tc>
      </w:tr>
    </w:tbl>
    <w:p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:rsidR="00706D4F" w:rsidRDefault="00706D4F">
      <w:pPr>
        <w:pStyle w:val="Punktygwne"/>
        <w:spacing w:before="0" w:after="0"/>
        <w:rPr>
          <w:rFonts w:ascii="Tahoma" w:hAnsi="Tahoma" w:cs="Tahoma"/>
          <w:b w:val="0"/>
        </w:rPr>
      </w:pPr>
    </w:p>
    <w:p w:rsidR="00706D4F" w:rsidRDefault="00C44F0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ECTS 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8260"/>
        <w:gridCol w:w="1452"/>
      </w:tblGrid>
      <w:tr w:rsidR="00706D4F">
        <w:trPr>
          <w:cantSplit/>
          <w:trHeight w:val="734"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Obciążenie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br/>
              <w:t>studenta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44F03">
              <w:rPr>
                <w:color w:val="auto"/>
                <w:sz w:val="20"/>
                <w:szCs w:val="20"/>
              </w:rPr>
              <w:t>30h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44F03">
              <w:rPr>
                <w:color w:val="auto"/>
                <w:sz w:val="20"/>
                <w:szCs w:val="20"/>
              </w:rPr>
              <w:t>6h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44F03">
              <w:rPr>
                <w:color w:val="auto"/>
                <w:sz w:val="20"/>
                <w:szCs w:val="20"/>
              </w:rPr>
              <w:t>24h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C44F03">
              <w:rPr>
                <w:color w:val="auto"/>
                <w:sz w:val="20"/>
                <w:szCs w:val="20"/>
              </w:rPr>
              <w:t>60h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C44F0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 w:rsidRPr="00C44F0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06D4F">
        <w:trPr>
          <w:cantSplit/>
          <w:jc w:val="center"/>
        </w:trPr>
        <w:tc>
          <w:tcPr>
            <w:tcW w:w="8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Default="00C44F03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6D4F" w:rsidRPr="00C44F03" w:rsidRDefault="00C44F03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44F03">
              <w:rPr>
                <w:b/>
                <w:color w:val="auto"/>
                <w:spacing w:val="-4"/>
                <w:sz w:val="20"/>
                <w:szCs w:val="20"/>
              </w:rPr>
              <w:t>0</w:t>
            </w:r>
          </w:p>
        </w:tc>
      </w:tr>
    </w:tbl>
    <w:p w:rsidR="00706D4F" w:rsidRDefault="00706D4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06D4F" w:rsidRDefault="00706D4F">
      <w:pPr>
        <w:tabs>
          <w:tab w:val="left" w:pos="1907"/>
        </w:tabs>
        <w:spacing w:after="0" w:line="240" w:lineRule="auto"/>
      </w:pPr>
    </w:p>
    <w:sectPr w:rsidR="00706D4F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AD5" w:rsidRDefault="00C44F03">
      <w:pPr>
        <w:spacing w:after="0" w:line="240" w:lineRule="auto"/>
      </w:pPr>
      <w:r>
        <w:separator/>
      </w:r>
    </w:p>
  </w:endnote>
  <w:endnote w:type="continuationSeparator" w:id="0">
    <w:p w:rsidR="00496AD5" w:rsidRDefault="00C4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4418894"/>
      <w:docPartObj>
        <w:docPartGallery w:val="Page Numbers (Bottom of Page)"/>
        <w:docPartUnique/>
      </w:docPartObj>
    </w:sdtPr>
    <w:sdtEndPr/>
    <w:sdtContent>
      <w:p w:rsidR="00706D4F" w:rsidRDefault="00C44F03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>
          <w:rPr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AD5" w:rsidRDefault="00C44F03">
      <w:pPr>
        <w:spacing w:after="0" w:line="240" w:lineRule="auto"/>
      </w:pPr>
      <w:r>
        <w:separator/>
      </w:r>
    </w:p>
  </w:footnote>
  <w:footnote w:type="continuationSeparator" w:id="0">
    <w:p w:rsidR="00496AD5" w:rsidRDefault="00C4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75B27"/>
    <w:multiLevelType w:val="multilevel"/>
    <w:tmpl w:val="843C54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F9A5E3D"/>
    <w:multiLevelType w:val="multilevel"/>
    <w:tmpl w:val="17CEB2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71D7216"/>
    <w:multiLevelType w:val="multilevel"/>
    <w:tmpl w:val="2EBEA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4F"/>
    <w:rsid w:val="00496AD5"/>
    <w:rsid w:val="00514128"/>
    <w:rsid w:val="00706D4F"/>
    <w:rsid w:val="00C4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70685"/>
  <w15:docId w15:val="{973FD2E0-288F-496B-A8B0-74EA12BC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E272D-85BE-4A77-8EC2-8BC1992C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868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</cp:revision>
  <cp:lastPrinted>2012-05-21T07:27:00Z</cp:lastPrinted>
  <dcterms:created xsi:type="dcterms:W3CDTF">2020-09-21T08:22:00Z</dcterms:created>
  <dcterms:modified xsi:type="dcterms:W3CDTF">2022-05-26T12:38:00Z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