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pediatryczne</w:t>
            </w:r>
            <w:r w:rsidR="00B42684">
              <w:rPr>
                <w:rFonts w:ascii="Tahoma" w:hAnsi="Tahoma" w:cs="Tahoma"/>
                <w:b w:val="0"/>
              </w:rPr>
              <w:t xml:space="preserve"> (część I)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21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AE4D34">
              <w:rPr>
                <w:rFonts w:ascii="Tahoma" w:hAnsi="Tahoma" w:cs="Tahoma"/>
                <w:b w:val="0"/>
              </w:rPr>
              <w:t>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dr </w:t>
            </w:r>
            <w:r w:rsidR="00182A5B">
              <w:rPr>
                <w:rFonts w:ascii="Tahoma" w:hAnsi="Tahoma" w:cs="Tahoma"/>
                <w:b w:val="0"/>
              </w:rPr>
              <w:t xml:space="preserve">n.med. </w:t>
            </w:r>
            <w:r w:rsidRPr="00073034">
              <w:rPr>
                <w:rFonts w:ascii="Tahoma" w:hAnsi="Tahoma" w:cs="Tahoma"/>
                <w:b w:val="0"/>
              </w:rPr>
              <w:t xml:space="preserve">Artur 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Bijoś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 xml:space="preserve">, </w:t>
            </w:r>
            <w:r w:rsidR="00182A5B">
              <w:rPr>
                <w:rFonts w:ascii="Tahoma" w:hAnsi="Tahoma" w:cs="Tahoma"/>
                <w:b w:val="0"/>
              </w:rPr>
              <w:t xml:space="preserve">dr Halina </w:t>
            </w:r>
            <w:proofErr w:type="spellStart"/>
            <w:r w:rsidR="00182A5B">
              <w:rPr>
                <w:rFonts w:ascii="Tahoma" w:hAnsi="Tahoma" w:cs="Tahoma"/>
                <w:b w:val="0"/>
              </w:rPr>
              <w:t>Kalandyk</w:t>
            </w:r>
            <w:proofErr w:type="spellEnd"/>
            <w:r w:rsidR="00182A5B">
              <w:rPr>
                <w:rFonts w:ascii="Tahoma" w:hAnsi="Tahoma" w:cs="Tahoma"/>
                <w:b w:val="0"/>
              </w:rPr>
              <w:t xml:space="preserve">, </w:t>
            </w:r>
            <w:r w:rsidRPr="00073034">
              <w:rPr>
                <w:rFonts w:ascii="Tahoma" w:hAnsi="Tahoma" w:cs="Tahoma"/>
                <w:b w:val="0"/>
              </w:rPr>
              <w:t xml:space="preserve">mgr Ewa 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AC4826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AC482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AC482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F2D1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4826" w:rsidRPr="00AC482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E95EC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</w:t>
            </w:r>
            <w:r w:rsidR="008834BD">
              <w:rPr>
                <w:rFonts w:ascii="Tahoma" w:hAnsi="Tahoma" w:cs="Tahoma"/>
              </w:rPr>
              <w:t>W14.</w:t>
            </w:r>
          </w:p>
        </w:tc>
      </w:tr>
      <w:tr w:rsidR="00641AE8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1AE8" w:rsidRPr="00B673A9" w:rsidRDefault="00641AE8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BF30EA" w:rsidRPr="00BF30EA" w:rsidTr="00AF44DB">
        <w:trPr>
          <w:trHeight w:val="227"/>
          <w:jc w:val="center"/>
        </w:trPr>
        <w:tc>
          <w:tcPr>
            <w:tcW w:w="846" w:type="dxa"/>
            <w:vAlign w:val="center"/>
          </w:tcPr>
          <w:p w:rsidR="00641AE8" w:rsidRPr="00BF30EA" w:rsidRDefault="00641AE8" w:rsidP="00641AE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0" w:name="_GoBack"/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33577F"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vAlign w:val="center"/>
          </w:tcPr>
          <w:p w:rsidR="00641AE8" w:rsidRPr="00BF30EA" w:rsidRDefault="00641AE8" w:rsidP="00641A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641AE8" w:rsidRPr="00BF30EA" w:rsidRDefault="00641AE8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  <w:bookmarkEnd w:id="0"/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2D322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2D322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814C3C">
        <w:tc>
          <w:tcPr>
            <w:tcW w:w="2127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646941">
        <w:tc>
          <w:tcPr>
            <w:tcW w:w="2127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</w:t>
            </w:r>
            <w:proofErr w:type="spellStart"/>
            <w:r>
              <w:rPr>
                <w:rFonts w:ascii="Tahoma" w:hAnsi="Tahoma" w:cs="Tahoma"/>
                <w:b w:val="0"/>
              </w:rPr>
              <w:t>Learnig</w:t>
            </w:r>
            <w:proofErr w:type="spellEnd"/>
          </w:p>
        </w:tc>
        <w:tc>
          <w:tcPr>
            <w:tcW w:w="7654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 xml:space="preserve">Podstawy auksologii i charakterystyka poszczególnych okresów rozwojowych </w:t>
            </w:r>
            <w:proofErr w:type="spellStart"/>
            <w:r w:rsidRPr="007C611C">
              <w:rPr>
                <w:rFonts w:ascii="Tahoma" w:hAnsi="Tahoma" w:cs="Tahoma"/>
                <w:b w:val="0"/>
              </w:rPr>
              <w:t>dziecka.</w:t>
            </w:r>
            <w:r w:rsidR="00743FC3">
              <w:rPr>
                <w:rFonts w:ascii="Tahoma" w:hAnsi="Tahoma" w:cs="Tahoma"/>
                <w:b w:val="0"/>
              </w:rPr>
              <w:t>Odrębności</w:t>
            </w:r>
            <w:proofErr w:type="spellEnd"/>
            <w:r w:rsidR="00743FC3">
              <w:rPr>
                <w:rFonts w:ascii="Tahoma" w:hAnsi="Tahoma" w:cs="Tahoma"/>
                <w:b w:val="0"/>
              </w:rPr>
              <w:t xml:space="preserve">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C86519" w:rsidRPr="0038710F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  <w:p w:rsidR="007C611C" w:rsidRPr="00073034" w:rsidRDefault="007C611C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Stany zagrażające życiu i zdrowiu wcześniaka oraz noworodka.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646941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C02E78" w:rsidRPr="00AC4826" w:rsidTr="00646941">
        <w:tc>
          <w:tcPr>
            <w:tcW w:w="568" w:type="dxa"/>
            <w:vAlign w:val="center"/>
          </w:tcPr>
          <w:p w:rsidR="00C02E78" w:rsidRDefault="00C02E78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C02E78" w:rsidRDefault="00C02E78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nad dzieckiem w stanie zagrożenia zdrowia i życia. </w:t>
            </w:r>
          </w:p>
        </w:tc>
      </w:tr>
      <w:tr w:rsidR="00E3292E" w:rsidRPr="00AC4826" w:rsidTr="00646941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WP8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2325AB" w:rsidRPr="002C75A5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911CD4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WK2-WK11,WP2-WP7,eL3,Sk3,Sk5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WK12,WP2-WP7eL4-eL7,Sk1-Sk5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294B7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WK2,WP7,eL3, Sk5</w:t>
            </w:r>
          </w:p>
        </w:tc>
      </w:tr>
      <w:tr w:rsidR="002A677E" w:rsidRPr="00A320ED" w:rsidTr="00AF44DB">
        <w:tc>
          <w:tcPr>
            <w:tcW w:w="3367" w:type="dxa"/>
            <w:vAlign w:val="center"/>
          </w:tcPr>
          <w:p w:rsidR="002A677E" w:rsidRPr="00A320ED" w:rsidRDefault="002A677E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EF2F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2A677E" w:rsidRPr="00A320ED" w:rsidRDefault="002A677E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2A677E" w:rsidRDefault="002A677E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A677E" w:rsidRPr="00AC4826" w:rsidTr="000A1541">
        <w:tc>
          <w:tcPr>
            <w:tcW w:w="1418" w:type="dxa"/>
            <w:vAlign w:val="center"/>
          </w:tcPr>
          <w:p w:rsidR="002A677E" w:rsidRDefault="002A677E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673A9">
              <w:rPr>
                <w:rFonts w:ascii="Tahoma" w:hAnsi="Tahoma" w:cs="Tahoma"/>
              </w:rPr>
              <w:t>P_K0</w:t>
            </w:r>
            <w:r w:rsidR="00566339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2A677E" w:rsidRPr="00183F2A" w:rsidRDefault="002A677E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:rsidR="002A677E" w:rsidRPr="00C12B3D" w:rsidRDefault="002A67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F44DB" w:rsidRP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AF44DB">
        <w:rPr>
          <w:rFonts w:ascii="Tahoma" w:hAnsi="Tahoma" w:cs="Tahoma"/>
          <w:b w:val="0"/>
          <w:bCs/>
          <w:sz w:val="20"/>
        </w:rPr>
        <w:lastRenderedPageBreak/>
        <w:t xml:space="preserve">W ramach e-learningu student jest zobowiązany do systematycznej pracy z kursem zamieszczonym na platformie </w:t>
      </w:r>
      <w:proofErr w:type="spellStart"/>
      <w:r w:rsidRPr="00AF44DB">
        <w:rPr>
          <w:rFonts w:ascii="Tahoma" w:hAnsi="Tahoma" w:cs="Tahoma"/>
          <w:b w:val="0"/>
          <w:bCs/>
          <w:sz w:val="20"/>
        </w:rPr>
        <w:t>BlackBoard</w:t>
      </w:r>
      <w:proofErr w:type="spellEnd"/>
      <w:r w:rsidRPr="00AF44DB">
        <w:rPr>
          <w:rFonts w:ascii="Tahoma" w:hAnsi="Tahoma" w:cs="Tahoma"/>
          <w:b w:val="0"/>
          <w:bCs/>
          <w:sz w:val="20"/>
        </w:rPr>
        <w:t>.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</w:t>
            </w:r>
            <w:proofErr w:type="spellStart"/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proofErr w:type="spellEnd"/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proofErr w:type="spellEnd"/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proofErr w:type="spellEnd"/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proofErr w:type="spellEnd"/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290EBA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nymi lekami i dróg podania.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     w opiece nad pacjentem w różnym wieku i stanie zdrowia.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proofErr w:type="spellStart"/>
            <w:r w:rsidRPr="00667408">
              <w:rPr>
                <w:rFonts w:ascii="Tahoma" w:hAnsi="Tahoma" w:cs="Tahoma"/>
                <w:sz w:val="18"/>
                <w:szCs w:val="18"/>
              </w:rPr>
              <w:t>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</w:t>
            </w:r>
            <w:proofErr w:type="spellEnd"/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 chorób i stanów zagrożenia życia noworodka, w tym wcześnia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ka oraz podstaw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opieki pielęgniarskiej w tym zakresie.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</w:tr>
      <w:tr w:rsidR="003B5C65" w:rsidRPr="0025572A" w:rsidTr="00AF44D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5" w:rsidRPr="0025572A" w:rsidRDefault="003B5C65" w:rsidP="003B5C6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572A">
              <w:rPr>
                <w:rFonts w:ascii="Tahoma" w:hAnsi="Tahoma" w:cs="Tahoma"/>
              </w:rPr>
              <w:t>P_K0</w:t>
            </w:r>
            <w:r w:rsidR="00F94694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65" w:rsidRPr="00667408" w:rsidRDefault="003B5C65" w:rsidP="003B5C6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3B5C65" w:rsidRPr="0025572A" w:rsidTr="00AF44DB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65" w:rsidRPr="0025572A" w:rsidRDefault="003B5C65" w:rsidP="003B5C6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6740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5B11FF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>Pielęgniarstwo pediatryczne / redakcja naukowa Bogusław Pawlaczyk; aut. Anna Basa [et al.]. - Wydanie 1, dodruk 4.  - Warszawa: Wydawnictwo Lekarskie PZWL, 2015</w:t>
            </w:r>
            <w:r w:rsidR="001A1BC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lastRenderedPageBreak/>
              <w:t xml:space="preserve">Pediatria i pielęgniarstwo pediatryczne / Mary E.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Muscari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 xml:space="preserve"> i jedenastu pozostałych; redakcja naukowa Krystyna Bernat. - Wydanie polskie 1, 3 dodruk.  - Warszawa: Wydawnictwo Lekarskie PZWL, 2018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 xml:space="preserve">Propedeutyka pediatrii / Marian Krawczyński. - Wyd. 2 uaktualnione i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 xml:space="preserve">.  - Warszawa: Wydawnictwo Lekarskie PZWL,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AC48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5B11FF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40A85">
              <w:rPr>
                <w:rFonts w:ascii="Tahoma" w:hAnsi="Tahoma" w:cs="Tahoma"/>
                <w:b w:val="0"/>
                <w:sz w:val="20"/>
              </w:rPr>
              <w:t xml:space="preserve">ABC zabiegów w pediatrii: podręcznik dla studentów medycyny, pielęgniarek i lekarzy / pod red. Jacka J. Pietrzyka, Hanny Szajewskiej, Jacka 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Mrukowicza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>; [aut. Teresa Bis-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Oleniacz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 xml:space="preserve"> et al.]. - Kraków: Wydawnictwo Medycyna Praktyczna, 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>. 2010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>Neonatologia / red. nauk. Jerzy Szczapa. - Warszawa: Wydawnictwo Lekarskie PZWL 2018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21D4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  <w:r>
              <w:rPr>
                <w:rFonts w:ascii="Tahoma" w:hAnsi="Tahoma" w:cs="Tahoma"/>
                <w:b w:val="0"/>
                <w:sz w:val="20"/>
              </w:rPr>
              <w:t xml:space="preserve"> (i nowsze)</w:t>
            </w:r>
          </w:p>
        </w:tc>
      </w:tr>
    </w:tbl>
    <w:p w:rsidR="006863F4" w:rsidRPr="00AC4826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2A8" w:rsidRDefault="00D772A8">
      <w:r>
        <w:separator/>
      </w:r>
    </w:p>
  </w:endnote>
  <w:endnote w:type="continuationSeparator" w:id="0">
    <w:p w:rsidR="00D772A8" w:rsidRDefault="00D7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34" w:rsidRDefault="00AE4D3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4D34" w:rsidRDefault="00AE4D3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4D34" w:rsidRPr="005D2001" w:rsidRDefault="00AE4D3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4449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2A8" w:rsidRDefault="00D772A8">
      <w:r>
        <w:separator/>
      </w:r>
    </w:p>
  </w:footnote>
  <w:footnote w:type="continuationSeparator" w:id="0">
    <w:p w:rsidR="00D772A8" w:rsidRDefault="00D7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34" w:rsidRDefault="00AE4D3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E4D34" w:rsidRDefault="00BF30E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1E4B"/>
    <w:rsid w:val="00043806"/>
    <w:rsid w:val="00046652"/>
    <w:rsid w:val="000543A4"/>
    <w:rsid w:val="0005749C"/>
    <w:rsid w:val="00061C70"/>
    <w:rsid w:val="00083761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718C"/>
    <w:rsid w:val="00182A5B"/>
    <w:rsid w:val="00183F2A"/>
    <w:rsid w:val="0018510A"/>
    <w:rsid w:val="00196F16"/>
    <w:rsid w:val="001A1BC9"/>
    <w:rsid w:val="001A611A"/>
    <w:rsid w:val="001B26F5"/>
    <w:rsid w:val="001B3BF7"/>
    <w:rsid w:val="001B7C83"/>
    <w:rsid w:val="001C2079"/>
    <w:rsid w:val="001C4F0A"/>
    <w:rsid w:val="001C6C52"/>
    <w:rsid w:val="001D5540"/>
    <w:rsid w:val="001D73E7"/>
    <w:rsid w:val="001E3F2A"/>
    <w:rsid w:val="001E5411"/>
    <w:rsid w:val="001E5AEB"/>
    <w:rsid w:val="001F014C"/>
    <w:rsid w:val="001F143D"/>
    <w:rsid w:val="0020696D"/>
    <w:rsid w:val="002123EF"/>
    <w:rsid w:val="00222851"/>
    <w:rsid w:val="00222A18"/>
    <w:rsid w:val="002325AB"/>
    <w:rsid w:val="00232843"/>
    <w:rsid w:val="00240FAC"/>
    <w:rsid w:val="00247D22"/>
    <w:rsid w:val="002533CE"/>
    <w:rsid w:val="0025572A"/>
    <w:rsid w:val="002652D5"/>
    <w:rsid w:val="00266382"/>
    <w:rsid w:val="00274D11"/>
    <w:rsid w:val="00277B5D"/>
    <w:rsid w:val="002843E1"/>
    <w:rsid w:val="00285CA1"/>
    <w:rsid w:val="00290EBA"/>
    <w:rsid w:val="00293E7C"/>
    <w:rsid w:val="00294B7C"/>
    <w:rsid w:val="002A03E6"/>
    <w:rsid w:val="002A249F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A46E0"/>
    <w:rsid w:val="006B07BF"/>
    <w:rsid w:val="006C3DD2"/>
    <w:rsid w:val="006C6C92"/>
    <w:rsid w:val="006D23E8"/>
    <w:rsid w:val="006E6720"/>
    <w:rsid w:val="006F4929"/>
    <w:rsid w:val="006F7BB0"/>
    <w:rsid w:val="00704A2D"/>
    <w:rsid w:val="00712545"/>
    <w:rsid w:val="007158A9"/>
    <w:rsid w:val="00721413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49FB"/>
    <w:rsid w:val="007E4D57"/>
    <w:rsid w:val="007E69A2"/>
    <w:rsid w:val="007F2FF6"/>
    <w:rsid w:val="007F3F4B"/>
    <w:rsid w:val="008046AE"/>
    <w:rsid w:val="0080542D"/>
    <w:rsid w:val="00807F73"/>
    <w:rsid w:val="00810852"/>
    <w:rsid w:val="00814C3C"/>
    <w:rsid w:val="00835F4B"/>
    <w:rsid w:val="00846BE3"/>
    <w:rsid w:val="00847734"/>
    <w:rsid w:val="00847A73"/>
    <w:rsid w:val="008528F2"/>
    <w:rsid w:val="00857E0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5210"/>
    <w:rsid w:val="008C6711"/>
    <w:rsid w:val="008C6B11"/>
    <w:rsid w:val="008C7701"/>
    <w:rsid w:val="008C7BF3"/>
    <w:rsid w:val="008D2150"/>
    <w:rsid w:val="008D7C1C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80509"/>
    <w:rsid w:val="00986075"/>
    <w:rsid w:val="00995DBC"/>
    <w:rsid w:val="00996009"/>
    <w:rsid w:val="009A3FEE"/>
    <w:rsid w:val="009A43CE"/>
    <w:rsid w:val="009A7332"/>
    <w:rsid w:val="009B4991"/>
    <w:rsid w:val="009C314B"/>
    <w:rsid w:val="009C7640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32047"/>
    <w:rsid w:val="00A320ED"/>
    <w:rsid w:val="00A37A0C"/>
    <w:rsid w:val="00A45FE3"/>
    <w:rsid w:val="00A50365"/>
    <w:rsid w:val="00A60E45"/>
    <w:rsid w:val="00A64607"/>
    <w:rsid w:val="00A65076"/>
    <w:rsid w:val="00A71D66"/>
    <w:rsid w:val="00A7596D"/>
    <w:rsid w:val="00AA3B18"/>
    <w:rsid w:val="00AA4DD9"/>
    <w:rsid w:val="00AB0AEC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3F26"/>
    <w:rsid w:val="00B95607"/>
    <w:rsid w:val="00B96AC5"/>
    <w:rsid w:val="00BB4F43"/>
    <w:rsid w:val="00BB7BF6"/>
    <w:rsid w:val="00BD12E3"/>
    <w:rsid w:val="00BD6AFA"/>
    <w:rsid w:val="00BE2710"/>
    <w:rsid w:val="00BF04B3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F1CB2"/>
    <w:rsid w:val="00CF2FBF"/>
    <w:rsid w:val="00D11547"/>
    <w:rsid w:val="00D1183C"/>
    <w:rsid w:val="00D17216"/>
    <w:rsid w:val="00D30973"/>
    <w:rsid w:val="00D36BD4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91AE0"/>
    <w:rsid w:val="00D92561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713B"/>
    <w:rsid w:val="00F8203E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;"/>
  <w14:docId w14:val="37B134ED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B4B51-3C24-423A-882E-6D64CDAF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3197</Words>
  <Characters>19186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49</cp:revision>
  <cp:lastPrinted>2021-02-14T18:13:00Z</cp:lastPrinted>
  <dcterms:created xsi:type="dcterms:W3CDTF">2021-02-11T10:57:00Z</dcterms:created>
  <dcterms:modified xsi:type="dcterms:W3CDTF">2021-08-18T11:44:00Z</dcterms:modified>
</cp:coreProperties>
</file>