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F72F43" w:rsidRDefault="0080542D" w:rsidP="00F72F43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:rsidR="008938C7" w:rsidRPr="00F72F43" w:rsidRDefault="00110699" w:rsidP="00F72F43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F72F43">
        <w:rPr>
          <w:rFonts w:ascii="Tahoma" w:hAnsi="Tahoma" w:cs="Tahoma"/>
          <w:b/>
          <w:color w:val="000000" w:themeColor="text1"/>
          <w:sz w:val="28"/>
        </w:rPr>
        <w:t>KARTA PRAKTYKI cz. 2</w:t>
      </w:r>
    </w:p>
    <w:p w:rsidR="00D428E0" w:rsidRPr="00F72F43" w:rsidRDefault="00D428E0" w:rsidP="00F72F43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:rsidR="008938C7" w:rsidRPr="00F72F43" w:rsidRDefault="00DB0142" w:rsidP="00F72F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F72F43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A0E40" w:rsidRPr="00F72F43" w:rsidTr="004846A3">
        <w:tc>
          <w:tcPr>
            <w:tcW w:w="2410" w:type="dxa"/>
            <w:vAlign w:val="center"/>
          </w:tcPr>
          <w:p w:rsidR="00BA0E40" w:rsidRPr="00F72F43" w:rsidRDefault="00BA0E40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A0E40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2021/2022</w:t>
            </w:r>
          </w:p>
        </w:tc>
      </w:tr>
      <w:tr w:rsidR="00BA0E40" w:rsidRPr="00F72F43" w:rsidTr="004846A3">
        <w:tc>
          <w:tcPr>
            <w:tcW w:w="2410" w:type="dxa"/>
            <w:vAlign w:val="center"/>
          </w:tcPr>
          <w:p w:rsidR="00BA0E40" w:rsidRPr="00F72F43" w:rsidRDefault="00BA0E40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BA0E40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Mediów i Komunikacji Społecznej</w:t>
            </w:r>
          </w:p>
        </w:tc>
      </w:tr>
      <w:tr w:rsidR="009C33CD" w:rsidRPr="00F72F43" w:rsidTr="004846A3">
        <w:tc>
          <w:tcPr>
            <w:tcW w:w="2410" w:type="dxa"/>
            <w:vAlign w:val="center"/>
          </w:tcPr>
          <w:p w:rsidR="009C33CD" w:rsidRPr="00F72F43" w:rsidRDefault="009C33CD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9C33CD" w:rsidRPr="00F72F43" w:rsidRDefault="00BA0E40" w:rsidP="00F72F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Komunikacja cyfrowa</w:t>
            </w:r>
          </w:p>
        </w:tc>
      </w:tr>
      <w:tr w:rsidR="009C33CD" w:rsidRPr="00F72F43" w:rsidTr="004846A3">
        <w:tc>
          <w:tcPr>
            <w:tcW w:w="2410" w:type="dxa"/>
            <w:vAlign w:val="center"/>
          </w:tcPr>
          <w:p w:rsidR="008938C7" w:rsidRPr="00F72F43" w:rsidRDefault="008938C7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72F43" w:rsidRDefault="00110699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9C33CD" w:rsidRPr="00F72F43" w:rsidTr="004846A3">
        <w:tc>
          <w:tcPr>
            <w:tcW w:w="2410" w:type="dxa"/>
            <w:vAlign w:val="center"/>
          </w:tcPr>
          <w:p w:rsidR="008938C7" w:rsidRPr="00F72F43" w:rsidRDefault="008938C7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F72F43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72F43" w:rsidRDefault="00110699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F72F43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9C33CD" w:rsidRPr="00F72F43" w:rsidTr="004846A3">
        <w:tc>
          <w:tcPr>
            <w:tcW w:w="2410" w:type="dxa"/>
            <w:vAlign w:val="center"/>
          </w:tcPr>
          <w:p w:rsidR="005A1416" w:rsidRPr="00F72F43" w:rsidRDefault="009813EA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Rodzaj </w:t>
            </w:r>
            <w:r w:rsidR="005A1416" w:rsidRPr="00F72F43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F72F43" w:rsidRDefault="00CA5FAD" w:rsidP="00F72F4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96172F" w:rsidRPr="00F72F43" w:rsidTr="004846A3">
        <w:tc>
          <w:tcPr>
            <w:tcW w:w="2410" w:type="dxa"/>
            <w:vAlign w:val="center"/>
          </w:tcPr>
          <w:p w:rsidR="0096172F" w:rsidRPr="00F72F43" w:rsidRDefault="0096172F" w:rsidP="00F72F43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96172F" w:rsidRPr="00F72F43" w:rsidRDefault="0096172F" w:rsidP="00F72F4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  <w:color w:val="auto"/>
              </w:rPr>
              <w:t>r Barbara Przywara</w:t>
            </w:r>
          </w:p>
        </w:tc>
      </w:tr>
    </w:tbl>
    <w:p w:rsidR="00220E22" w:rsidRPr="00F72F43" w:rsidRDefault="00220E22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72F43" w:rsidRDefault="008938C7" w:rsidP="00F72F4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Efekty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Pr="00F72F43">
        <w:rPr>
          <w:rFonts w:ascii="Tahoma" w:hAnsi="Tahoma" w:cs="Tahoma"/>
          <w:color w:val="000000" w:themeColor="text1"/>
        </w:rPr>
        <w:t xml:space="preserve"> i sposób </w:t>
      </w:r>
      <w:r w:rsidR="00B60B0B" w:rsidRPr="00F72F43">
        <w:rPr>
          <w:rFonts w:ascii="Tahoma" w:hAnsi="Tahoma" w:cs="Tahoma"/>
          <w:color w:val="000000" w:themeColor="text1"/>
        </w:rPr>
        <w:t>realizacji</w:t>
      </w:r>
      <w:r w:rsidRPr="00F72F43">
        <w:rPr>
          <w:rFonts w:ascii="Tahoma" w:hAnsi="Tahoma" w:cs="Tahoma"/>
          <w:color w:val="000000" w:themeColor="text1"/>
        </w:rPr>
        <w:t xml:space="preserve"> </w:t>
      </w:r>
      <w:r w:rsidR="00F3641E" w:rsidRPr="00F72F43">
        <w:rPr>
          <w:rFonts w:ascii="Tahoma" w:hAnsi="Tahoma" w:cs="Tahoma"/>
          <w:color w:val="000000" w:themeColor="text1"/>
        </w:rPr>
        <w:t>praktyki</w:t>
      </w:r>
    </w:p>
    <w:p w:rsidR="00931F5B" w:rsidRPr="00F72F43" w:rsidRDefault="00931F5B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72F43" w:rsidRDefault="008938C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Cel</w:t>
      </w:r>
      <w:r w:rsidR="00EE1335" w:rsidRPr="00F72F43">
        <w:rPr>
          <w:rFonts w:ascii="Tahoma" w:hAnsi="Tahoma" w:cs="Tahoma"/>
          <w:color w:val="000000" w:themeColor="text1"/>
        </w:rPr>
        <w:t>e</w:t>
      </w:r>
      <w:r w:rsidRPr="00F72F43">
        <w:rPr>
          <w:rFonts w:ascii="Tahoma" w:hAnsi="Tahoma" w:cs="Tahoma"/>
          <w:color w:val="000000" w:themeColor="text1"/>
        </w:rPr>
        <w:t xml:space="preserve"> </w:t>
      </w:r>
      <w:r w:rsidR="00F3641E" w:rsidRPr="00F72F43">
        <w:rPr>
          <w:rFonts w:ascii="Tahoma" w:hAnsi="Tahoma" w:cs="Tahoma"/>
          <w:color w:val="000000" w:themeColor="text1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9C33CD" w:rsidRPr="00F72F43" w:rsidTr="009C33CD">
        <w:tc>
          <w:tcPr>
            <w:tcW w:w="817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Wykształcenie u studenta umiejętności wyszukiwania, selekcjonowania i wykorzystywania potrze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b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nych informacji w wykonywaniu różnego typu zadań.</w:t>
            </w:r>
          </w:p>
        </w:tc>
      </w:tr>
      <w:tr w:rsidR="009C33CD" w:rsidRPr="00F72F43" w:rsidTr="009C33CD">
        <w:tc>
          <w:tcPr>
            <w:tcW w:w="817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8961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Wykształcenie u studenta umiejętności organizacyjnych pozwalających na planowanie i realizację powierzonych zadań.  </w:t>
            </w:r>
          </w:p>
        </w:tc>
      </w:tr>
      <w:tr w:rsidR="009C33CD" w:rsidRPr="00F72F43" w:rsidTr="009C33CD">
        <w:tc>
          <w:tcPr>
            <w:tcW w:w="817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8961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Weryfikacja posiadanych umiejętności praktycznych w zakresie podstawowej obsługi narzędzi (sprzęt i oprogramowania) związanych ze specyfiką studiowanej specjalności</w:t>
            </w:r>
          </w:p>
        </w:tc>
      </w:tr>
    </w:tbl>
    <w:p w:rsidR="008046AE" w:rsidRPr="00F72F43" w:rsidRDefault="008046AE" w:rsidP="00F72F43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72F43" w:rsidRDefault="0069598C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Przedmiotowe e</w:t>
      </w:r>
      <w:r w:rsidR="008938C7" w:rsidRPr="00F72F43">
        <w:rPr>
          <w:rFonts w:ascii="Tahoma" w:hAnsi="Tahoma" w:cs="Tahoma"/>
          <w:color w:val="000000" w:themeColor="text1"/>
        </w:rPr>
        <w:t xml:space="preserve">fekty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="008938C7" w:rsidRPr="00F72F43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F72F43">
        <w:rPr>
          <w:rFonts w:ascii="Tahoma" w:hAnsi="Tahoma" w:cs="Tahoma"/>
          <w:color w:val="000000" w:themeColor="text1"/>
        </w:rPr>
        <w:t>, wraz z</w:t>
      </w:r>
      <w:r w:rsidR="008110A5" w:rsidRPr="00F72F43">
        <w:rPr>
          <w:rFonts w:ascii="Tahoma" w:hAnsi="Tahoma" w:cs="Tahoma"/>
          <w:color w:val="000000" w:themeColor="text1"/>
        </w:rPr>
        <w:t xml:space="preserve"> </w:t>
      </w:r>
      <w:r w:rsidR="008938C7" w:rsidRPr="00F72F43">
        <w:rPr>
          <w:rFonts w:ascii="Tahoma" w:hAnsi="Tahoma" w:cs="Tahoma"/>
          <w:color w:val="000000" w:themeColor="text1"/>
        </w:rPr>
        <w:t xml:space="preserve">odniesieniem do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="008938C7" w:rsidRPr="00F72F43">
        <w:rPr>
          <w:rFonts w:ascii="Tahoma" w:hAnsi="Tahoma" w:cs="Tahoma"/>
          <w:color w:val="000000" w:themeColor="text1"/>
        </w:rPr>
        <w:t xml:space="preserve"> dla </w:t>
      </w:r>
      <w:r w:rsidR="00F00795" w:rsidRPr="00F72F43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C33CD" w:rsidRPr="00F72F43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F72F43" w:rsidRDefault="008938C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F72F43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9C33CD" w:rsidRPr="00F72F4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F72F43" w:rsidRDefault="008938C7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F72F43">
              <w:rPr>
                <w:rFonts w:ascii="Tahoma" w:hAnsi="Tahoma" w:cs="Tahoma"/>
                <w:color w:val="000000" w:themeColor="text1"/>
              </w:rPr>
              <w:t>praktyki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F72F43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9C33CD" w:rsidRPr="00F72F4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potrafi wyszukiwać, selekcjonować i wykorzystywać w praktyce potrzebn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e </w:t>
            </w:r>
            <w:r w:rsidRPr="00F72F43">
              <w:rPr>
                <w:rFonts w:ascii="Tahoma" w:hAnsi="Tahoma" w:cs="Tahoma"/>
                <w:color w:val="000000" w:themeColor="text1"/>
              </w:rPr>
              <w:t>inform</w:t>
            </w:r>
            <w:r w:rsidRPr="00F72F43">
              <w:rPr>
                <w:rFonts w:ascii="Tahoma" w:hAnsi="Tahoma" w:cs="Tahoma"/>
                <w:color w:val="000000" w:themeColor="text1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</w:rPr>
              <w:t>cj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>e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do wykonywania zadań.</w:t>
            </w:r>
          </w:p>
        </w:tc>
        <w:tc>
          <w:tcPr>
            <w:tcW w:w="1486" w:type="dxa"/>
            <w:vAlign w:val="center"/>
          </w:tcPr>
          <w:p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K_U02</w:t>
            </w:r>
          </w:p>
        </w:tc>
      </w:tr>
      <w:tr w:rsidR="009C33CD" w:rsidRPr="00F72F4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7513" w:type="dxa"/>
            <w:vAlign w:val="center"/>
          </w:tcPr>
          <w:p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posiada podstawowe umiejętności organizacyjne pozwalające na planowanie i re</w:t>
            </w:r>
            <w:r w:rsidRPr="00F72F43">
              <w:rPr>
                <w:rFonts w:ascii="Tahoma" w:hAnsi="Tahoma" w:cs="Tahoma"/>
                <w:color w:val="000000" w:themeColor="text1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lizację zadań związanych z komunikacją marketingową. </w:t>
            </w:r>
          </w:p>
        </w:tc>
        <w:tc>
          <w:tcPr>
            <w:tcW w:w="1486" w:type="dxa"/>
            <w:vAlign w:val="center"/>
          </w:tcPr>
          <w:p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K_U07</w:t>
            </w:r>
          </w:p>
        </w:tc>
      </w:tr>
      <w:tr w:rsidR="009C33CD" w:rsidRPr="00F72F4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7513" w:type="dxa"/>
            <w:vAlign w:val="center"/>
          </w:tcPr>
          <w:p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potrafi wyszukiwać, analizować, oceniać, selekcjonować i użytkować informację z wykorzystaniem różnych źródeł i sposobów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 dla realizacji powierzonych zadań</w:t>
            </w:r>
          </w:p>
        </w:tc>
        <w:tc>
          <w:tcPr>
            <w:tcW w:w="1486" w:type="dxa"/>
            <w:vAlign w:val="center"/>
          </w:tcPr>
          <w:p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K_U08</w:t>
            </w:r>
          </w:p>
        </w:tc>
      </w:tr>
      <w:tr w:rsidR="009C33CD" w:rsidRPr="00F72F43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7513" w:type="dxa"/>
            <w:vAlign w:val="center"/>
          </w:tcPr>
          <w:p w:rsidR="009C33CD" w:rsidRPr="00F72F43" w:rsidRDefault="009C33CD" w:rsidP="00F72F4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 podstawowym zakresie obsługiwać narzędzia (sprzęt i oprogramowanie) związ</w:t>
            </w:r>
            <w:r w:rsidRPr="00F72F43">
              <w:rPr>
                <w:rFonts w:ascii="Tahoma" w:hAnsi="Tahoma" w:cs="Tahoma"/>
                <w:color w:val="000000" w:themeColor="text1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</w:rPr>
              <w:t>ne ze studiowan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>ym kierunkiem</w:t>
            </w:r>
            <w:r w:rsidRPr="00F72F43">
              <w:rPr>
                <w:rFonts w:ascii="Tahoma" w:hAnsi="Tahoma" w:cs="Tahoma"/>
                <w:color w:val="000000" w:themeColor="text1"/>
              </w:rPr>
              <w:t xml:space="preserve"> wdrażać poznane teorie w praktyce</w:t>
            </w:r>
            <w:r w:rsidR="00946BB1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:rsidR="009C33CD" w:rsidRPr="00F72F43" w:rsidRDefault="009C33CD" w:rsidP="00F72F43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K_U13</w:t>
            </w:r>
          </w:p>
        </w:tc>
      </w:tr>
    </w:tbl>
    <w:p w:rsidR="008711A1" w:rsidRPr="00F72F43" w:rsidRDefault="008711A1" w:rsidP="00F72F43">
      <w:pPr>
        <w:spacing w:before="40" w:after="4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F72F43" w:rsidRDefault="00F72F43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>
        <w:rPr>
          <w:rFonts w:ascii="Tahoma" w:hAnsi="Tahoma" w:cs="Tahoma"/>
          <w:color w:val="000000" w:themeColor="text1"/>
        </w:rPr>
        <w:br w:type="page"/>
      </w:r>
    </w:p>
    <w:p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lastRenderedPageBreak/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9C33CD" w:rsidRPr="00F72F43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9C33CD" w:rsidRPr="00F72F43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9C33CD" w:rsidRPr="00F72F43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  <w:tr w:rsidR="009C33CD" w:rsidRPr="00F72F43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9C33CD" w:rsidRPr="00F72F43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BA0E40" w:rsidRPr="00F72F43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BA0E40" w:rsidRPr="00F72F43" w:rsidRDefault="00BA0E40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360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BA0E40" w:rsidRPr="00F72F43" w:rsidRDefault="00BA0E40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>Zalecane miejsca realizacji praktyki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Z racji specyfiki kierunku zalecane miejsca praktyk to: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instytucje branży medialnej;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działy marketingu/PR/promocji/reklamy/multimediów przedsiębiorstw, organizacji, fundacji, stowarzyszeń, jednostek samorządowych, rządowych, partii politycznych, itp.;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firmy branży e-commerce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działy mediów społecznościowych przedsiębiorstw;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firmy konsultingowe, doradcze ds. wizerunku i marketingu;</w:t>
      </w:r>
    </w:p>
    <w:p w:rsidR="009C33CD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 xml:space="preserve">- agencje reklamowe, kreatywne, interaktywne, </w:t>
      </w:r>
      <w:proofErr w:type="spellStart"/>
      <w:r w:rsidRPr="00F72F43">
        <w:rPr>
          <w:rFonts w:ascii="Tahoma" w:hAnsi="Tahoma" w:cs="Tahoma"/>
          <w:b w:val="0"/>
          <w:color w:val="000000" w:themeColor="text1"/>
          <w:sz w:val="20"/>
        </w:rPr>
        <w:t>eventowe</w:t>
      </w:r>
      <w:proofErr w:type="spellEnd"/>
      <w:r w:rsidRPr="00F72F43">
        <w:rPr>
          <w:rFonts w:ascii="Tahoma" w:hAnsi="Tahoma" w:cs="Tahoma"/>
          <w:b w:val="0"/>
          <w:color w:val="000000" w:themeColor="text1"/>
          <w:sz w:val="20"/>
        </w:rPr>
        <w:t>, PR;</w:t>
      </w:r>
    </w:p>
    <w:p w:rsidR="00946BB1" w:rsidRPr="00F72F43" w:rsidRDefault="009C33CD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color w:val="000000" w:themeColor="text1"/>
          <w:sz w:val="20"/>
        </w:rPr>
        <w:t>- biura prasowe</w:t>
      </w:r>
    </w:p>
    <w:p w:rsidR="00946BB1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72F43">
        <w:rPr>
          <w:rFonts w:ascii="Tahoma" w:hAnsi="Tahoma" w:cs="Tahoma"/>
          <w:b w:val="0"/>
          <w:sz w:val="20"/>
        </w:rPr>
        <w:t>-działy komunikacji wewnętrznej przedsiębiorstw, organizacji, fundacji, stowarzyszeń, jednostek samorząd</w:t>
      </w:r>
      <w:r w:rsidRPr="00F72F43">
        <w:rPr>
          <w:rFonts w:ascii="Tahoma" w:hAnsi="Tahoma" w:cs="Tahoma"/>
          <w:b w:val="0"/>
          <w:sz w:val="20"/>
        </w:rPr>
        <w:t>o</w:t>
      </w:r>
      <w:r w:rsidRPr="00F72F43">
        <w:rPr>
          <w:rFonts w:ascii="Tahoma" w:hAnsi="Tahoma" w:cs="Tahoma"/>
          <w:b w:val="0"/>
          <w:sz w:val="20"/>
        </w:rPr>
        <w:t>wych, rządowych, itp.;</w:t>
      </w:r>
    </w:p>
    <w:p w:rsidR="00946BB1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72F43">
        <w:rPr>
          <w:rFonts w:ascii="Tahoma" w:hAnsi="Tahoma" w:cs="Tahoma"/>
          <w:b w:val="0"/>
          <w:sz w:val="20"/>
        </w:rPr>
        <w:t>- działy HR</w:t>
      </w:r>
    </w:p>
    <w:p w:rsidR="009C33CD" w:rsidRPr="00F72F43" w:rsidRDefault="00946BB1" w:rsidP="00F72F43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72F43">
        <w:rPr>
          <w:rFonts w:ascii="Tahoma" w:hAnsi="Tahoma" w:cs="Tahoma"/>
          <w:b w:val="0"/>
          <w:sz w:val="20"/>
        </w:rPr>
        <w:t>- firmy konsultingowe</w:t>
      </w:r>
      <w:r w:rsidR="009C33CD" w:rsidRPr="00F72F43">
        <w:rPr>
          <w:rFonts w:ascii="Tahoma" w:hAnsi="Tahoma" w:cs="Tahoma"/>
          <w:b w:val="0"/>
          <w:color w:val="000000" w:themeColor="text1"/>
          <w:sz w:val="20"/>
        </w:rPr>
        <w:t xml:space="preserve">. </w:t>
      </w:r>
    </w:p>
    <w:p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Korelacja pomiędzy efektami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  <w:r w:rsidRPr="00F72F43">
        <w:rPr>
          <w:rFonts w:ascii="Tahoma" w:hAnsi="Tahoma" w:cs="Tahoma"/>
          <w:color w:val="000000" w:themeColor="text1"/>
        </w:rPr>
        <w:t>, celami praktyki, a warunkami realiz</w:t>
      </w:r>
      <w:r w:rsidRPr="00F72F43">
        <w:rPr>
          <w:rFonts w:ascii="Tahoma" w:hAnsi="Tahoma" w:cs="Tahoma"/>
          <w:color w:val="000000" w:themeColor="text1"/>
        </w:rPr>
        <w:t>a</w:t>
      </w:r>
      <w:r w:rsidRPr="00F72F43">
        <w:rPr>
          <w:rFonts w:ascii="Tahoma" w:hAnsi="Tahoma" w:cs="Tahoma"/>
          <w:color w:val="000000" w:themeColor="text1"/>
        </w:rPr>
        <w:t xml:space="preserve">cji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72F4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:rsidR="00707237" w:rsidRPr="00F72F43" w:rsidRDefault="009D7ACA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o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:rsidR="009C33CD" w:rsidRPr="00F72F43" w:rsidRDefault="009C33CD" w:rsidP="00F72F4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Zadanie: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 xml:space="preserve"> zlecanie studentowi przygotowania różnych form komunikatów, w których mógłby wykorzystać zdobytą wiedzę; angażowanie studenta w opr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>cowanie i wdrożenie strategii, harmonogramów, planów, kampanii, projektów, programów i innych działań związanych ze specyfiką miejsca odbywania pra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>k</w:t>
            </w:r>
            <w:r w:rsidRPr="00F72F43">
              <w:rPr>
                <w:rFonts w:ascii="Tahoma" w:hAnsi="Tahoma" w:cs="Tahoma"/>
                <w:b w:val="0"/>
                <w:color w:val="000000" w:themeColor="text1"/>
              </w:rPr>
              <w:t>tyki.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o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:rsidR="00946BB1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Zadanie: 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zlecanie zadań pozwalających na planowanie i realizację zadań zwi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ą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zanych z komunikacją marketingową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komunikacją cyfrową w organizacji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</w:tc>
      </w:tr>
    </w:tbl>
    <w:p w:rsidR="00AB3C7D" w:rsidRPr="00F72F43" w:rsidRDefault="00AB3C7D" w:rsidP="00F72F43">
      <w:pPr>
        <w:spacing w:before="40" w:after="40" w:line="240" w:lineRule="auto"/>
        <w:rPr>
          <w:rFonts w:ascii="Tahoma" w:hAnsi="Tahoma" w:cs="Tahoma"/>
        </w:rPr>
      </w:pPr>
      <w:r w:rsidRPr="00F72F43">
        <w:rPr>
          <w:rFonts w:ascii="Tahoma" w:hAnsi="Tahoma" w:cs="Tahoma"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72F4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lastRenderedPageBreak/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o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Zadanie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: zlecanie studentowi przygotowania różnych form komunikatów, w których mógłby wykorzystać zdobytą wiedzę; angażowanie studenta w opr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cowanie i wdrożenie strategii, harmonogramów, planów, kampanii, projektów, programów i innych działa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ń z wykorzystaniem różnych kanałów komunikacji zewnętrznej i wewnętrznej organizacji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.  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Miejsce: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eventowe</w:t>
            </w:r>
            <w:proofErr w:type="spellEnd"/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, PR; biura prasowe</w:t>
            </w:r>
            <w:r w:rsidR="00946BB1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; 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działy komunikacji wewnętrznej przedsiębiorstw, organizacji, fundacji, stowarzyszeń, jednostek samorząd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o</w:t>
            </w:r>
            <w:r w:rsidR="00946BB1" w:rsidRPr="00F72F43">
              <w:rPr>
                <w:rFonts w:ascii="Tahoma" w:hAnsi="Tahoma" w:cs="Tahoma"/>
                <w:b w:val="0"/>
                <w:sz w:val="20"/>
              </w:rPr>
              <w:t>wych, rządowych, itp.; działy HR, firmy konsultingowe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.</w:t>
            </w:r>
          </w:p>
          <w:p w:rsidR="009C33CD" w:rsidRPr="00F72F43" w:rsidRDefault="009C33CD" w:rsidP="00F72F43">
            <w:pPr>
              <w:pStyle w:val="Podpunkty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Zadanie: 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zlecanie zadań wymagających podstawowej obsługi sprzętu i opr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gramowania (pod nadzorem), właściwego dla stanowiska pracy, z jakim zap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znaje się student, przygotowanie materiałów/komunikatów wymagających podstawowej znajomości funkcji sprzętu oraz głównych funkcji oprogramow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nia.</w:t>
            </w:r>
          </w:p>
        </w:tc>
      </w:tr>
    </w:tbl>
    <w:p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:rsidR="00707237" w:rsidRPr="00F72F43" w:rsidRDefault="00707237" w:rsidP="00F72F4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72F43">
        <w:rPr>
          <w:rFonts w:ascii="Tahoma" w:hAnsi="Tahoma" w:cs="Tahoma"/>
          <w:color w:val="000000" w:themeColor="text1"/>
        </w:rPr>
        <w:t xml:space="preserve">Metody weryfikacji efektów </w:t>
      </w:r>
      <w:r w:rsidR="009D7ACA" w:rsidRPr="00F72F4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9C33CD" w:rsidRPr="00F72F43" w:rsidTr="003C4770">
        <w:trPr>
          <w:trHeight w:val="397"/>
        </w:trPr>
        <w:tc>
          <w:tcPr>
            <w:tcW w:w="1418" w:type="dxa"/>
            <w:vAlign w:val="center"/>
          </w:tcPr>
          <w:p w:rsidR="00AE5D83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Efekt</w:t>
            </w:r>
            <w:r w:rsidR="009D7ACA" w:rsidRPr="00F72F4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:rsidR="00707237" w:rsidRPr="00F72F43" w:rsidRDefault="009D7ACA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984" w:type="dxa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6379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umiejętności wyszukiwania, selekcjonowania i wykorzystywania w praktyce potrzebnych informacji do wykonywania zleconych zadań</w:t>
            </w:r>
          </w:p>
        </w:tc>
        <w:tc>
          <w:tcPr>
            <w:tcW w:w="1984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6379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prostych zadań pozwalających na planowanie i realizację zadań związanych z komunikacją marketingową</w:t>
            </w:r>
          </w:p>
        </w:tc>
        <w:tc>
          <w:tcPr>
            <w:tcW w:w="1984" w:type="dxa"/>
          </w:tcPr>
          <w:p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P_U03</w:t>
            </w:r>
          </w:p>
        </w:tc>
        <w:tc>
          <w:tcPr>
            <w:tcW w:w="6379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Stopień opanowania umiejętności wyszukiwania, analizowania, oc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e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niania, selekcjonowania i użytkowania informacji z wykorzystaniem różnych źródeł i sposobów,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z wykorzystaniem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różnych kanałów kom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u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nikacji zewnętrznej i wewnętrznej organizacji</w:t>
            </w:r>
          </w:p>
        </w:tc>
        <w:tc>
          <w:tcPr>
            <w:tcW w:w="1984" w:type="dxa"/>
          </w:tcPr>
          <w:p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9C33CD" w:rsidRPr="00F72F43" w:rsidTr="003C4770">
        <w:trPr>
          <w:trHeight w:val="340"/>
        </w:trPr>
        <w:tc>
          <w:tcPr>
            <w:tcW w:w="1418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P_U04</w:t>
            </w:r>
          </w:p>
        </w:tc>
        <w:tc>
          <w:tcPr>
            <w:tcW w:w="6379" w:type="dxa"/>
            <w:vAlign w:val="center"/>
          </w:tcPr>
          <w:p w:rsidR="009C33CD" w:rsidRPr="00F72F43" w:rsidRDefault="009C33CD" w:rsidP="00F72F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Stopień opanowania obsługi narzędzi związanych ze specyfiką 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studi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o</w:t>
            </w:r>
            <w:r w:rsidR="00C2496C"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>wanego kierunku</w:t>
            </w:r>
            <w:r w:rsidRPr="00F72F4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oraz posługiwania się fachową terminologią</w:t>
            </w:r>
          </w:p>
        </w:tc>
        <w:tc>
          <w:tcPr>
            <w:tcW w:w="1984" w:type="dxa"/>
          </w:tcPr>
          <w:p w:rsidR="009C33CD" w:rsidRPr="00F72F43" w:rsidRDefault="009C33CD" w:rsidP="00F72F43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:rsidR="00707237" w:rsidRPr="00F72F43" w:rsidRDefault="00707237" w:rsidP="00F72F43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707237" w:rsidRPr="00F72F43" w:rsidRDefault="009D7ACA" w:rsidP="00F72F43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b w:val="0"/>
          <w:color w:val="000000" w:themeColor="text1"/>
          <w:sz w:val="24"/>
        </w:rPr>
      </w:pPr>
      <w:bookmarkStart w:id="1" w:name="_Hlk15898313"/>
      <w:r w:rsidRPr="00F72F43">
        <w:rPr>
          <w:rFonts w:ascii="Tahoma" w:hAnsi="Tahoma" w:cs="Tahoma"/>
          <w:color w:val="000000" w:themeColor="text1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9C33CD" w:rsidRPr="00F72F43" w:rsidTr="003C4770">
        <w:trPr>
          <w:trHeight w:val="397"/>
        </w:trPr>
        <w:tc>
          <w:tcPr>
            <w:tcW w:w="1276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707237" w:rsidRPr="00F72F43" w:rsidRDefault="00AE5D83" w:rsidP="00F72F43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F72F43" w:rsidRDefault="00707237" w:rsidP="00F72F43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9C33CD" w:rsidRPr="00F72F43" w:rsidTr="00E20301">
        <w:trPr>
          <w:trHeight w:val="567"/>
        </w:trPr>
        <w:tc>
          <w:tcPr>
            <w:tcW w:w="1276" w:type="dxa"/>
            <w:vAlign w:val="center"/>
          </w:tcPr>
          <w:p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7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wyszukiwać, selekcj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nować i wykorzyst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wać w praktyce p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trzebnych informacji do wykonywania zl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conych zadań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wydatnej pomocy opiekuna praktyki  wyszukiwać, selekcjonować i wyk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rzystywać w praktyce potrzebne informacje do wykonywania zl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conych zadań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niewie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kiej pomocy opiekuna praktyki  wyszukiwać, selekcjonować i wyk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rzystywać w praktyce potrzebne informacje do wykonywania zl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conych zadań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 wyszukiwać, selekcj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nować i wykorzyst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wać w praktyce p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trzebne informacje do wykonywania zlec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nych zadań</w:t>
            </w:r>
          </w:p>
        </w:tc>
      </w:tr>
    </w:tbl>
    <w:p w:rsidR="00AB3C7D" w:rsidRPr="00F72F43" w:rsidRDefault="00AB3C7D" w:rsidP="00F72F43">
      <w:pPr>
        <w:spacing w:before="40" w:after="40" w:line="240" w:lineRule="auto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9C33CD" w:rsidRPr="00F72F43" w:rsidTr="00E20301">
        <w:trPr>
          <w:trHeight w:val="567"/>
        </w:trPr>
        <w:tc>
          <w:tcPr>
            <w:tcW w:w="1276" w:type="dxa"/>
            <w:vAlign w:val="center"/>
          </w:tcPr>
          <w:p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127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 w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konywać zadań p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zwalających na plan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wanie i realizację 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dań związanych z 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munikacją marketi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gową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 przy wydatnej pomocy opiekuna praktyk wykonywać zadania pozwalające na planowanie i real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zację zadań związ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nych z komunikacją marketingową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 przy niewie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kiej pomocy opiekuna praktyk wykonywać zadania pozwalające na planowanie i real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zację zadań związ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nych z komunikacją marketingową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wykonywać zadania pozwalające na plan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wanie i realizację 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dań związanych z 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munikacją marketi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gową</w:t>
            </w:r>
          </w:p>
        </w:tc>
      </w:tr>
      <w:tr w:rsidR="009C33CD" w:rsidRPr="00F72F43" w:rsidTr="00E20301">
        <w:trPr>
          <w:trHeight w:val="567"/>
        </w:trPr>
        <w:tc>
          <w:tcPr>
            <w:tcW w:w="1276" w:type="dxa"/>
            <w:vAlign w:val="center"/>
          </w:tcPr>
          <w:p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127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wyszukiwać, analiz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wać, oceniać, sele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cjonować i użytkować informacji z wykorz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staniem różnych źródeł i sposobów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wydatnej pomocy opiekuna praktyki  wyszukiwać, analizować, oceniać, selekcjonować i uży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t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kować informacje z wykorzystaniem ró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ż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nych źródeł i spos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bów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niewie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l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kiej pomocy opiekuna praktyki  wyszukiwać, analizować, oceniać, selekcjonować i uży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t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kować informacje z wykorzystaniem ró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ż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nych źródeł i spos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bów</w:t>
            </w:r>
          </w:p>
        </w:tc>
        <w:tc>
          <w:tcPr>
            <w:tcW w:w="2126" w:type="dxa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 wyszukiwać, analiz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wać, oceniać, sele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k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cjonować i użytkować informacje z wykorz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y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sta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niem różnych źródeł i sposobów</w:t>
            </w:r>
          </w:p>
        </w:tc>
      </w:tr>
      <w:tr w:rsidR="009C33CD" w:rsidRPr="00F72F43" w:rsidTr="003C4770">
        <w:trPr>
          <w:trHeight w:val="567"/>
        </w:trPr>
        <w:tc>
          <w:tcPr>
            <w:tcW w:w="1276" w:type="dxa"/>
            <w:vAlign w:val="center"/>
          </w:tcPr>
          <w:p w:rsidR="009C33CD" w:rsidRPr="00F72F43" w:rsidRDefault="009C33CD" w:rsidP="00F72F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72F43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127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Nie potrafi, nawet przy wydatnej pomocy opiekuna praktyki  w podstawowym zakresie obsługiwać narzędzi (sprzęt i oprogram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wanie) związanych ze specyfiką studiowan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go kierunku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ani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  wdr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a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żać poznanych teorii w praktyce </w:t>
            </w:r>
          </w:p>
        </w:tc>
        <w:tc>
          <w:tcPr>
            <w:tcW w:w="2126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Potrafi, przy wydatnej pomocy opiekuna w podstawowym zakresie obsługiwać narzędzia (sprzęt i oprogram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go kierunku oraz wdrażać poznane te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rie w praktyce</w:t>
            </w:r>
          </w:p>
        </w:tc>
        <w:tc>
          <w:tcPr>
            <w:tcW w:w="2126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w podstawowym zakresie obsługiwać narzędzia (sprzęt i oprogram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go kierunku oraz wdrażać poznane te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rie w praktyce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, pope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ł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9C33CD" w:rsidRPr="00F72F43" w:rsidRDefault="009C33CD" w:rsidP="00F72F43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 w:themeColor="text1"/>
                <w:sz w:val="20"/>
              </w:rPr>
            </w:pP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Potrafi samodzielnie w podstawowym zakresie obsługiwać narzędzia (sprzęt i oprogram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 xml:space="preserve">wanie) 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związane ze specyfiką studiowan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go kierunku oraz wdrażać poznane te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o</w:t>
            </w:r>
            <w:r w:rsidR="00C2496C" w:rsidRPr="00F72F43">
              <w:rPr>
                <w:rFonts w:ascii="Tahoma" w:hAnsi="Tahoma" w:cs="Tahoma"/>
                <w:color w:val="000000" w:themeColor="text1"/>
                <w:sz w:val="20"/>
              </w:rPr>
              <w:t>rie w praktyce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, stos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u</w:t>
            </w:r>
            <w:r w:rsidRPr="00F72F43">
              <w:rPr>
                <w:rFonts w:ascii="Tahoma" w:hAnsi="Tahoma" w:cs="Tahoma"/>
                <w:color w:val="000000" w:themeColor="text1"/>
                <w:sz w:val="20"/>
              </w:rPr>
              <w:t>jąc efektywnie znane mu procedury, metody i narzędzia</w:t>
            </w:r>
          </w:p>
        </w:tc>
      </w:tr>
    </w:tbl>
    <w:p w:rsidR="00E31741" w:rsidRPr="00F72F43" w:rsidRDefault="00E31741" w:rsidP="00F72F43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p w:rsidR="00F72F43" w:rsidRPr="00F72F43" w:rsidRDefault="00F72F43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</w:rPr>
      </w:pPr>
    </w:p>
    <w:sectPr w:rsidR="00F72F43" w:rsidRPr="00F72F43" w:rsidSect="009D7ACA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2D" w:rsidRDefault="00AE7C2D">
      <w:r>
        <w:separator/>
      </w:r>
    </w:p>
  </w:endnote>
  <w:endnote w:type="continuationSeparator" w:id="0">
    <w:p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6172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0471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F72F43" w:rsidRPr="00F72F43" w:rsidRDefault="00F72F43" w:rsidP="00F72F43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72F4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72F4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72F4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6172F" w:rsidRPr="0096172F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F72F4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2D" w:rsidRDefault="00AE7C2D">
      <w:r>
        <w:separator/>
      </w:r>
    </w:p>
  </w:footnote>
  <w:footnote w:type="continuationSeparator" w:id="0">
    <w:p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2222FF" wp14:editId="56A571A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96172F">
    <w:pPr>
      <w:pStyle w:val="Nagwek"/>
    </w:pPr>
    <w:r>
      <w:pict>
        <v:rect id="_x0000_i1025" style="width:0;height:1.5pt" o:hralign="center" o:hrstd="t" o:hr="t" fillcolor="#a0a0a0" stroked="f"/>
      </w:pict>
    </w:r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2B1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1C9A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46BB1"/>
    <w:rsid w:val="00955477"/>
    <w:rsid w:val="009614FE"/>
    <w:rsid w:val="0096172F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33CD"/>
    <w:rsid w:val="009C7640"/>
    <w:rsid w:val="009C772E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3C7D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0E40"/>
    <w:rsid w:val="00BA6783"/>
    <w:rsid w:val="00BA6C39"/>
    <w:rsid w:val="00BB2733"/>
    <w:rsid w:val="00BB4B70"/>
    <w:rsid w:val="00BB4F43"/>
    <w:rsid w:val="00BD3670"/>
    <w:rsid w:val="00BD3D59"/>
    <w:rsid w:val="00BF0ADE"/>
    <w:rsid w:val="00C10249"/>
    <w:rsid w:val="00C15B5C"/>
    <w:rsid w:val="00C22B2D"/>
    <w:rsid w:val="00C235DC"/>
    <w:rsid w:val="00C2496C"/>
    <w:rsid w:val="00C2539E"/>
    <w:rsid w:val="00C37C9A"/>
    <w:rsid w:val="00C50308"/>
    <w:rsid w:val="00C607DB"/>
    <w:rsid w:val="00C63A2D"/>
    <w:rsid w:val="00C71C75"/>
    <w:rsid w:val="00C932A6"/>
    <w:rsid w:val="00C947FB"/>
    <w:rsid w:val="00CA5FAD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72F4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005B-9069-430D-A9C4-BDCE0BA0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1413</Words>
  <Characters>8482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9876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12</cp:revision>
  <cp:lastPrinted>2017-06-07T06:27:00Z</cp:lastPrinted>
  <dcterms:created xsi:type="dcterms:W3CDTF">2021-01-11T07:48:00Z</dcterms:created>
  <dcterms:modified xsi:type="dcterms:W3CDTF">2021-09-06T11:42:00Z</dcterms:modified>
</cp:coreProperties>
</file>