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1DB" w:rsidRDefault="00C441DB" w:rsidP="00C441DB">
      <w:pPr>
        <w:spacing w:line="480" w:lineRule="auto"/>
        <w:rPr>
          <w:rFonts w:ascii="Bookman Old Style" w:hAnsi="Bookman Old Style"/>
          <w:b/>
          <w:bCs/>
          <w:i/>
          <w:iCs/>
        </w:rPr>
      </w:pPr>
      <w:bookmarkStart w:id="0" w:name="_GoBack"/>
      <w:bookmarkEnd w:id="0"/>
      <w:r>
        <w:rPr>
          <w:rFonts w:ascii="Bookman Old Style" w:hAnsi="Bookman Old Style"/>
          <w:b/>
          <w:bCs/>
          <w:i/>
          <w:iCs/>
        </w:rPr>
        <w:t>Nazwisko</w:t>
      </w:r>
    </w:p>
    <w:p w:rsidR="00C441DB" w:rsidRDefault="00C441DB" w:rsidP="00C441DB">
      <w:pPr>
        <w:spacing w:line="480" w:lineRule="auto"/>
        <w:rPr>
          <w:rFonts w:ascii="Bookman Old Style" w:hAnsi="Bookman Old Style"/>
          <w:b/>
          <w:bCs/>
          <w:i/>
          <w:iCs/>
        </w:rPr>
      </w:pPr>
      <w:r>
        <w:rPr>
          <w:rFonts w:ascii="Bookman Old Style" w:hAnsi="Bookman Old Style"/>
          <w:b/>
          <w:bCs/>
          <w:i/>
          <w:iCs/>
        </w:rPr>
        <w:t>Ulica</w:t>
      </w:r>
    </w:p>
    <w:p w:rsidR="00C441DB" w:rsidRDefault="00C441DB" w:rsidP="00C441DB">
      <w:pPr>
        <w:spacing w:line="480" w:lineRule="auto"/>
        <w:rPr>
          <w:rFonts w:ascii="Bookman Old Style" w:hAnsi="Bookman Old Style"/>
          <w:b/>
          <w:bCs/>
          <w:i/>
          <w:iCs/>
        </w:rPr>
      </w:pPr>
      <w:r>
        <w:rPr>
          <w:rFonts w:ascii="Bookman Old Style" w:hAnsi="Bookman Old Style"/>
          <w:b/>
          <w:bCs/>
          <w:i/>
          <w:iCs/>
        </w:rPr>
        <w:t>Miasto</w:t>
      </w:r>
    </w:p>
    <w:p w:rsidR="00C441DB" w:rsidRDefault="00C441DB" w:rsidP="00C441DB">
      <w:pPr>
        <w:jc w:val="center"/>
        <w:rPr>
          <w:rFonts w:ascii="Bookman Old Style" w:hAnsi="Bookman Old Style"/>
        </w:rPr>
      </w:pPr>
    </w:p>
    <w:p w:rsidR="00C441DB" w:rsidRDefault="00C441DB" w:rsidP="00C441DB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BYKI, KAMYKI, PAPIRUSY. SŁYNNE BRITISH MUSEUM MA JUŻ 250 LAT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– jedno z najwspanialszych muzeów na </w:t>
      </w:r>
      <w:proofErr w:type="spellStart"/>
      <w:r>
        <w:rPr>
          <w:rFonts w:ascii="Bookman Old Style" w:hAnsi="Bookman Old Style"/>
        </w:rPr>
        <w:t>swiecie</w:t>
      </w:r>
      <w:proofErr w:type="spellEnd"/>
      <w:r>
        <w:rPr>
          <w:rFonts w:ascii="Bookman Old Style" w:hAnsi="Bookman Old Style"/>
        </w:rPr>
        <w:t xml:space="preserve">, które co roku zwiedza około </w:t>
      </w:r>
      <w:proofErr w:type="spellStart"/>
      <w:r>
        <w:rPr>
          <w:rFonts w:ascii="Bookman Old Style" w:hAnsi="Bookman Old Style"/>
        </w:rPr>
        <w:t>pieciu</w:t>
      </w:r>
      <w:proofErr w:type="spellEnd"/>
      <w:r>
        <w:rPr>
          <w:rFonts w:ascii="Bookman Old Style" w:hAnsi="Bookman Old Style"/>
        </w:rPr>
        <w:t xml:space="preserve"> milionów osób – ma już 250 lat. Imperium już nie ma, ale co przez lata zgarnęło, można nadal oglądać w Londynie.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Trudno uwierzyć, patrząc na </w:t>
      </w:r>
      <w:proofErr w:type="spellStart"/>
      <w:r>
        <w:rPr>
          <w:rFonts w:ascii="Bookman Old Style" w:hAnsi="Bookman Old Style"/>
        </w:rPr>
        <w:t>mape</w:t>
      </w:r>
      <w:proofErr w:type="spellEnd"/>
      <w:r>
        <w:rPr>
          <w:rFonts w:ascii="Bookman Old Style" w:hAnsi="Bookman Old Style"/>
        </w:rPr>
        <w:t xml:space="preserve"> Londynu z 1740 r., że tereny za siedzibą królowej, pałacem Buckingham, były wówczas łąkami, a wjeżdżających od zachodu do tego kwitnącego miasta witał widok szubienic nierzadko ze zwłokami skazańców. Dzisiejszemu londyńczykowi niełatwo także uwierzyć, że w tym złotym okresie rozwoju miasta jego niemal ścisłe centrum, okolice dzisiejszej </w:t>
      </w:r>
      <w:proofErr w:type="spellStart"/>
      <w:r>
        <w:rPr>
          <w:rFonts w:ascii="Bookman Old Style" w:hAnsi="Bookman Old Style"/>
        </w:rPr>
        <w:t>Fleet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Street</w:t>
      </w:r>
      <w:proofErr w:type="spellEnd"/>
      <w:r>
        <w:rPr>
          <w:rFonts w:ascii="Bookman Old Style" w:hAnsi="Bookman Old Style"/>
        </w:rPr>
        <w:t xml:space="preserve">, było jednym z najtańszych miejsc. Bogaci mieszkali gdzie indziej, gdyż fetor płynącej tamtędy rzeczki </w:t>
      </w:r>
      <w:proofErr w:type="spellStart"/>
      <w:r>
        <w:rPr>
          <w:rFonts w:ascii="Bookman Old Style" w:hAnsi="Bookman Old Style"/>
        </w:rPr>
        <w:t>Fleet</w:t>
      </w:r>
      <w:proofErr w:type="spellEnd"/>
      <w:r>
        <w:rPr>
          <w:rFonts w:ascii="Bookman Old Style" w:hAnsi="Bookman Old Style"/>
        </w:rPr>
        <w:t xml:space="preserve">, będącej właściwie </w:t>
      </w:r>
      <w:proofErr w:type="spellStart"/>
      <w:r>
        <w:rPr>
          <w:rFonts w:ascii="Bookman Old Style" w:hAnsi="Bookman Old Style"/>
        </w:rPr>
        <w:t>sściekiem</w:t>
      </w:r>
      <w:proofErr w:type="spellEnd"/>
      <w:r>
        <w:rPr>
          <w:rFonts w:ascii="Bookman Old Style" w:hAnsi="Bookman Old Style"/>
        </w:rPr>
        <w:t xml:space="preserve">, odstraszał ludzi.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Mimo to połowa wieku XVIII to niewątpliwy rozkwit jednego z najwspanialszych miast świata. Przyspieszyła go, rzecz jasna, rewolucja przemysłowa, ale Londyn powoli stawał się także centrum olbrzymiego imperium. Panujący wówczas król Jerzy II nie tylko stłumił powstanie jakobinów u siebie, ale także – po zakończeniu wojny siedmioletniej – kontrolował już Kanadę, Indie i część Karaibów. Gdzieś w środku tego dziejowego zamieszania znalazł się Sir Hans </w:t>
      </w:r>
      <w:proofErr w:type="spellStart"/>
      <w:r>
        <w:rPr>
          <w:rFonts w:ascii="Bookman Old Style" w:hAnsi="Bookman Old Style"/>
        </w:rPr>
        <w:t>Sloane</w:t>
      </w:r>
      <w:proofErr w:type="spellEnd"/>
      <w:r>
        <w:rPr>
          <w:rFonts w:ascii="Bookman Old Style" w:hAnsi="Bookman Old Style"/>
        </w:rPr>
        <w:t xml:space="preserve">. </w:t>
      </w: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To dzięki niemu Londyn posiadł kolekcję, która stworzyła podstawy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– największej publicznej instytucji muzealnej na Wyspach i jednej z najważniejszych na świecie. </w:t>
      </w: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trakcie swojego długiego życia Sir </w:t>
      </w:r>
      <w:proofErr w:type="spellStart"/>
      <w:r>
        <w:rPr>
          <w:rFonts w:ascii="Bookman Old Style" w:hAnsi="Bookman Old Style"/>
        </w:rPr>
        <w:t>Sloane</w:t>
      </w:r>
      <w:proofErr w:type="spellEnd"/>
      <w:r>
        <w:rPr>
          <w:rFonts w:ascii="Bookman Old Style" w:hAnsi="Bookman Old Style"/>
        </w:rPr>
        <w:t xml:space="preserve"> wydał, jak się szacuje, około 50 tys. funtów na zgromadzenie pokaźnej kolekcji dzieł sztuki, antyków oraz okazów przyrodniczych i geologicznych. Sporządzając testament postanowił, że ponad 71 tys. zgromadzonych obiektów nie może zostać zaprzepaszczonych po jego śmierci. Zapisał więc wszystko w spadku królowi Jerzemu II w zamian za 20 tys. funtów dla swoich spadkobierców. Umieścił jednak w testamencie klauzulę, że w razie niespełnienia jego prośby całość kolekcji przekazana zostanie zagranicznym instytucjom. Sprawa trafiła pod obrady parlamentu, który w 1753 r. ustanowił specjalny akt powołujący muzeum.  Pieniądze potrzebne na wykupienie kolekcji Sir </w:t>
      </w:r>
      <w:proofErr w:type="spellStart"/>
      <w:r>
        <w:rPr>
          <w:rFonts w:ascii="Bookman Old Style" w:hAnsi="Bookman Old Style"/>
        </w:rPr>
        <w:t>Sloane’a</w:t>
      </w:r>
      <w:proofErr w:type="spellEnd"/>
      <w:r>
        <w:rPr>
          <w:rFonts w:ascii="Bookman Old Style" w:hAnsi="Bookman Old Style"/>
        </w:rPr>
        <w:t xml:space="preserve"> postanowiono zebrać poprzez loterię. A że uzbierało się ich dosyć dużo, to wystarczyło i na wykupienie eksponatów, i na zakup i remont budynku pod przyszłe muzeum. Ten budynek to nieistniejący już </w:t>
      </w:r>
      <w:proofErr w:type="spellStart"/>
      <w:r>
        <w:rPr>
          <w:rFonts w:ascii="Bookman Old Style" w:hAnsi="Bookman Old Style"/>
        </w:rPr>
        <w:t>Montagu</w:t>
      </w:r>
      <w:proofErr w:type="spellEnd"/>
      <w:r>
        <w:rPr>
          <w:rFonts w:ascii="Bookman Old Style" w:hAnsi="Bookman Old Style"/>
        </w:rPr>
        <w:t xml:space="preserve"> House w dzielnicy </w:t>
      </w:r>
      <w:proofErr w:type="spellStart"/>
      <w:r>
        <w:rPr>
          <w:rFonts w:ascii="Bookman Old Style" w:hAnsi="Bookman Old Style"/>
        </w:rPr>
        <w:t>Bloomsbury</w:t>
      </w:r>
      <w:proofErr w:type="spellEnd"/>
      <w:r>
        <w:rPr>
          <w:rFonts w:ascii="Bookman Old Style" w:hAnsi="Bookman Old Style"/>
        </w:rPr>
        <w:t xml:space="preserve">. Tam przeniesiono całą kolekcję składającą się przede wszystkim z manuskryptów, książek, obiektów etnograficznych i przyrodniczych. W 1757 r. król Jerzy II podarował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Bibliotekę Królewską, składającą się z kilkunastu tysięcy woluminów kolekcjonowanych od czasów Henryka VIII. Był to niewątpliwy przywilej dla tej placówki, która w styczniu 1759 r. otworzyła wreszcie swe podwoje dla zwiedzających. Zwiedzanie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nie było wówczas tak proste jak dziś. Wstęp zarezerwowany był właściwie wyłącznie dla uczonych lub artystów. Muzeum czynne było jedynie przez trzy godziny dziennie, a dostać się tam było można tylko po złożeniu wcześniej pisemnego podania, w którym należało przedstawić własną osobę i referencje oraz cel wizyty. Po pozytywnej odpowiedzi należało się zgłosić po bilet, na którym widniała data i godzina zwiedzania. Szczęśliwych posiadaczy biletów odprowadzano do odpowiedniego pomieszczenia, tam zajmowali się nimi wyznaczeni strażnicy, a zwiedzanie muzeum odbywało się w grupach. Te skomplikowane procedury rozluźniono nieco na początku XIX w. Wtedy też wiadomo już było, że </w:t>
      </w:r>
      <w:proofErr w:type="spellStart"/>
      <w:r>
        <w:rPr>
          <w:rFonts w:ascii="Bookman Old Style" w:hAnsi="Bookman Old Style"/>
        </w:rPr>
        <w:t>Montagu</w:t>
      </w:r>
      <w:proofErr w:type="spellEnd"/>
      <w:r>
        <w:rPr>
          <w:rFonts w:ascii="Bookman Old Style" w:hAnsi="Bookman Old Style"/>
        </w:rPr>
        <w:t xml:space="preserve"> House jest za mały, by pomieścić stale rozrastające się zbiory.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  <w:r>
        <w:rPr>
          <w:rFonts w:ascii="Bookman Old Style" w:hAnsi="Bookman Old Style"/>
        </w:rPr>
        <w:lastRenderedPageBreak/>
        <w:t xml:space="preserve">Powołany w 1802 r. specjalny zespół zajął się planowaniem rozwoju muzeum. Początkowo dobudowano skrzydło, w którym umieszczono kolekcje rzeźby klasycznej Charlesa </w:t>
      </w:r>
      <w:proofErr w:type="spellStart"/>
      <w:r>
        <w:rPr>
          <w:rFonts w:ascii="Bookman Old Style" w:hAnsi="Bookman Old Style"/>
        </w:rPr>
        <w:t>Townleya</w:t>
      </w:r>
      <w:proofErr w:type="spellEnd"/>
      <w:r>
        <w:rPr>
          <w:rFonts w:ascii="Bookman Old Style" w:hAnsi="Bookman Old Style"/>
        </w:rPr>
        <w:t xml:space="preserve">. Jednak w połowie XIX w. w miejscu </w:t>
      </w:r>
      <w:proofErr w:type="spellStart"/>
      <w:r>
        <w:rPr>
          <w:rFonts w:ascii="Bookman Old Style" w:hAnsi="Bookman Old Style"/>
        </w:rPr>
        <w:t>Montagu</w:t>
      </w:r>
      <w:proofErr w:type="spellEnd"/>
      <w:r>
        <w:rPr>
          <w:rFonts w:ascii="Bookman Old Style" w:hAnsi="Bookman Old Style"/>
        </w:rPr>
        <w:t xml:space="preserve"> House wzniesiono, zgodnie z projektem Sir Roberta </w:t>
      </w:r>
      <w:proofErr w:type="spellStart"/>
      <w:r>
        <w:rPr>
          <w:rFonts w:ascii="Bookman Old Style" w:hAnsi="Bookman Old Style"/>
        </w:rPr>
        <w:t>Smirke’a</w:t>
      </w:r>
      <w:proofErr w:type="spellEnd"/>
      <w:r>
        <w:rPr>
          <w:rFonts w:ascii="Bookman Old Style" w:hAnsi="Bookman Old Style"/>
        </w:rPr>
        <w:t xml:space="preserve">, nowy budynek w stylu neoklasycznym, w którym mieści się obecnie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. Za dalszą rozbudowę budynku odpowiedzialny był młodszy brat Sir </w:t>
      </w:r>
      <w:proofErr w:type="spellStart"/>
      <w:r>
        <w:rPr>
          <w:rFonts w:ascii="Bookman Old Style" w:hAnsi="Bookman Old Style"/>
        </w:rPr>
        <w:t>Smirke’a</w:t>
      </w:r>
      <w:proofErr w:type="spellEnd"/>
      <w:r>
        <w:rPr>
          <w:rFonts w:ascii="Bookman Old Style" w:hAnsi="Bookman Old Style"/>
        </w:rPr>
        <w:t xml:space="preserve">, Sydney. On właśnie wybudował główny południowy fronton, charakterystyczną kolumnadę oraz usytuowaną centralnie czytelnię w kształcie rotundy.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O znaczeniu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dla światowego dziedzictwa kulturalnego stanowią zebrane w nim – często w budzący kontrowersje sposób – eksponaty. Każdy, kto tam był, wie, że nie wystarcza dnia do choćby pobieżnego zapoznania się z częścią kolekcji. Zbiór eksponatów jest niespotykany i praktycznie każdego – bez względu na wiedzę czy cel wizyty – fascynuje, inspiruje, a nawet onieśmiela. Od kolekcji mumii ze starożytnego Egiptu po Mezopotamię i współczesną Japonię. Od liczących 2500 lat greckich marmurów przedstawiających sceny z mitologii, przez Majów i Azteków po współczesny Meksyk.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To właśnie dzięki znajdującemu się w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„kamieniowi z </w:t>
      </w:r>
      <w:proofErr w:type="spellStart"/>
      <w:r>
        <w:rPr>
          <w:rFonts w:ascii="Bookman Old Style" w:hAnsi="Bookman Old Style"/>
        </w:rPr>
        <w:t>Rosetty</w:t>
      </w:r>
      <w:proofErr w:type="spellEnd"/>
      <w:r>
        <w:rPr>
          <w:rFonts w:ascii="Bookman Old Style" w:hAnsi="Bookman Old Style"/>
        </w:rPr>
        <w:t xml:space="preserve">” udało się rozszyfrować egipskie hieroglify. Tu znajdują się dwie kopie Magna Charta Libertatum (Wielkiej Karty Swobód). Do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trafił znaleziony w Chinach najstarszy na świecie drukowany dokument. Obok pamiętnika zdobywcy bieguna południowego kapitana Scotta znajdują się tam eksponaty przywiezione z wypraw żeglarskich przez kapitana Jamesa Cooka. Lingwiści mogą obejrzeć dwa oryginalne tomy wydanego przez Samuela Johnsona słownika języka angielskiego.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  <w:r>
        <w:rPr>
          <w:rFonts w:ascii="Bookman Old Style" w:hAnsi="Bookman Old Style"/>
        </w:rPr>
        <w:lastRenderedPageBreak/>
        <w:t xml:space="preserve">Jednak jedną z największych kolekcji muzeum jest zbiór eksponatów ze starożytnej Grecji, a wśród nich – będące przedmiotem wieloletniego sporu między Wielką Brytanią a Grecją – marmury </w:t>
      </w:r>
      <w:proofErr w:type="spellStart"/>
      <w:r>
        <w:rPr>
          <w:rFonts w:ascii="Bookman Old Style" w:hAnsi="Bookman Old Style"/>
        </w:rPr>
        <w:t>Elgina</w:t>
      </w:r>
      <w:proofErr w:type="spellEnd"/>
      <w:r>
        <w:rPr>
          <w:rFonts w:ascii="Bookman Old Style" w:hAnsi="Bookman Old Style"/>
        </w:rPr>
        <w:t xml:space="preserve">. Lord </w:t>
      </w:r>
      <w:proofErr w:type="spellStart"/>
      <w:r>
        <w:rPr>
          <w:rFonts w:ascii="Bookman Old Style" w:hAnsi="Bookman Old Style"/>
        </w:rPr>
        <w:t>Elgin</w:t>
      </w:r>
      <w:proofErr w:type="spellEnd"/>
      <w:r>
        <w:rPr>
          <w:rFonts w:ascii="Bookman Old Style" w:hAnsi="Bookman Old Style"/>
        </w:rPr>
        <w:t xml:space="preserve">, ambasador brytyjski w Konstantynopolu, pierwotnie planował sporządzić odlewy i rysunki rzeźb Partenonu ateńskiego i częściowo tego dokonał. Jednak, jak utrzymywał, chcąc uchronić starożytne zabytki przed dalszymi zniszczeniami, postanowił zachować dla potomności, co się da. Grecy wolą nazywać to jednak grabieżą. W wielu opracowaniach na ten temat mówi się wprost o wyrywaniu i niszczeniu marmurów przez ekipę </w:t>
      </w:r>
      <w:proofErr w:type="spellStart"/>
      <w:r>
        <w:rPr>
          <w:rFonts w:ascii="Bookman Old Style" w:hAnsi="Bookman Old Style"/>
        </w:rPr>
        <w:t>Elgina</w:t>
      </w:r>
      <w:proofErr w:type="spellEnd"/>
      <w:r>
        <w:rPr>
          <w:rFonts w:ascii="Bookman Old Style" w:hAnsi="Bookman Old Style"/>
        </w:rPr>
        <w:t xml:space="preserve">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Tak czy inaczej, od 1816 r. pochodzące z Partenonu marmury stanowią własność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. Grecja już od 1829 r. wzywa do ich zwrotu, wywierając dyplomatyczną presję na Londyn, ale na razie bezskutecznie. Presja ta wzrosła, od kiedy Grecy zaczęli planować u siebie przyszłoroczne igrzyska olimpijskie. Jednak dyrektor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Neil </w:t>
      </w:r>
      <w:proofErr w:type="spellStart"/>
      <w:r>
        <w:rPr>
          <w:rFonts w:ascii="Bookman Old Style" w:hAnsi="Bookman Old Style"/>
        </w:rPr>
        <w:t>MacGregor</w:t>
      </w:r>
      <w:proofErr w:type="spellEnd"/>
      <w:r>
        <w:rPr>
          <w:rFonts w:ascii="Bookman Old Style" w:hAnsi="Bookman Old Style"/>
        </w:rPr>
        <w:t xml:space="preserve"> dał na początku tego roku wyraźnie do zrozumienia, że powrót marmurów </w:t>
      </w:r>
      <w:proofErr w:type="spellStart"/>
      <w:r>
        <w:rPr>
          <w:rFonts w:ascii="Bookman Old Style" w:hAnsi="Bookman Old Style"/>
        </w:rPr>
        <w:t>Elgina</w:t>
      </w:r>
      <w:proofErr w:type="spellEnd"/>
      <w:r>
        <w:rPr>
          <w:rFonts w:ascii="Bookman Old Style" w:hAnsi="Bookman Old Style"/>
        </w:rPr>
        <w:t xml:space="preserve"> do Grecji jest niemożliwy.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swojej historii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pozbywało się części swej kolekcji, jednak zupełnie z innych powodów. Wciąż rosnąca liczba eksponatów i wieczna ciasnota sprawiły, że część zbiorów przeniesiono w inne miejsce, tworząc odrębne muzea:</w:t>
      </w:r>
    </w:p>
    <w:p w:rsidR="00C441DB" w:rsidRDefault="00C441DB" w:rsidP="00C441D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 kompleksu muzeów w dzielnicy </w:t>
      </w:r>
      <w:proofErr w:type="spellStart"/>
      <w:r>
        <w:rPr>
          <w:rFonts w:ascii="Bookman Old Style" w:hAnsi="Bookman Old Style"/>
        </w:rPr>
        <w:t>South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Kensington</w:t>
      </w:r>
      <w:proofErr w:type="spellEnd"/>
      <w:r>
        <w:rPr>
          <w:rFonts w:ascii="Bookman Old Style" w:hAnsi="Bookman Old Style"/>
        </w:rPr>
        <w:t xml:space="preserve"> jedno z najbardziej okazałych – Muzeum Historii Naturalnej – powstało dzięki przeniesieniu w 1881 r. zbiorów przyrodniczych właśnie z British </w:t>
      </w:r>
      <w:proofErr w:type="spellStart"/>
      <w:r>
        <w:rPr>
          <w:rFonts w:ascii="Bookman Old Style" w:hAnsi="Bookman Old Style"/>
        </w:rPr>
        <w:t>Museum</w:t>
      </w:r>
      <w:proofErr w:type="spellEnd"/>
    </w:p>
    <w:p w:rsidR="00C441DB" w:rsidRDefault="00C441DB" w:rsidP="00C441D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1970 r. do budynku przy Burlington </w:t>
      </w:r>
      <w:proofErr w:type="spellStart"/>
      <w:r>
        <w:rPr>
          <w:rFonts w:ascii="Bookman Old Style" w:hAnsi="Bookman Old Style"/>
        </w:rPr>
        <w:t>Gardens</w:t>
      </w:r>
      <w:proofErr w:type="spellEnd"/>
      <w:r>
        <w:rPr>
          <w:rFonts w:ascii="Bookman Old Style" w:hAnsi="Bookman Old Style"/>
        </w:rPr>
        <w:t xml:space="preserve"> przeniesiono część etnograficzną, tworząc w ten sposób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of </w:t>
      </w:r>
      <w:proofErr w:type="spellStart"/>
      <w:r>
        <w:rPr>
          <w:rFonts w:ascii="Bookman Old Style" w:hAnsi="Bookman Old Style"/>
        </w:rPr>
        <w:t>Mankind</w:t>
      </w:r>
      <w:proofErr w:type="spellEnd"/>
      <w:r>
        <w:rPr>
          <w:rFonts w:ascii="Bookman Old Style" w:hAnsi="Bookman Old Style"/>
        </w:rPr>
        <w:t xml:space="preserve"> (Muzeum Ludzkości)</w:t>
      </w:r>
    </w:p>
    <w:p w:rsidR="00C441DB" w:rsidRDefault="00C441DB" w:rsidP="00C441D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od lat 70. stopniowo przenoszono także należące do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księgozbiory, które w końcu znalazły się w nowo wzniesionym budynku British Library. </w:t>
      </w: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Znalezienie nowego miejsca dla potężnych księgozbiorów, a co za tym idzie zwolnienie miejsca po nich wewnątrz muzeum, pozwoliło na kolejną spektakularną </w:t>
      </w:r>
      <w:proofErr w:type="spellStart"/>
      <w:r>
        <w:rPr>
          <w:rFonts w:ascii="Bookman Old Style" w:hAnsi="Bookman Old Style"/>
        </w:rPr>
        <w:t>przebudowe</w:t>
      </w:r>
      <w:proofErr w:type="spellEnd"/>
      <w:r>
        <w:rPr>
          <w:rFonts w:ascii="Bookman Old Style" w:hAnsi="Bookman Old Style"/>
        </w:rPr>
        <w:t xml:space="preserve">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  <w:r>
        <w:rPr>
          <w:rFonts w:ascii="Bookman Old Style" w:hAnsi="Bookman Old Style"/>
        </w:rPr>
        <w:lastRenderedPageBreak/>
        <w:t xml:space="preserve">Prace nadzorował znany architekt Sir Norman Foster, który zaprojektował gigantyczny szklany dach nad odrestaurowaną częścią dziedzińca, tworząc tym samym największy przykryty plac w Europie. Przebudowa pozwoliła jednocześnie otworzyć w podziemiach nowe galerie oraz sale wykładowe. Całość nazwano imieniem królowej Elżbiety II, która uroczyście otwarła nową część muzeum w grudniu 2000 r.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 tak oto po 250 latach od śmierci faktycznego założyciela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 Sir Hansa </w:t>
      </w:r>
      <w:proofErr w:type="spellStart"/>
      <w:r>
        <w:rPr>
          <w:rFonts w:ascii="Bookman Old Style" w:hAnsi="Bookman Old Style"/>
        </w:rPr>
        <w:t>Sloane’a</w:t>
      </w:r>
      <w:proofErr w:type="spellEnd"/>
      <w:r>
        <w:rPr>
          <w:rFonts w:ascii="Bookman Old Style" w:hAnsi="Bookman Old Style"/>
        </w:rPr>
        <w:t xml:space="preserve"> placówka nie tylko przyjmuje około pięciu milionów zwiedzających, którzy za wstęp nie muszą płacić ani pensa, ale wspomaga również wykopaliska na całym świecie. Wspomnianych na początku szubienic w Londynie nie ma, podobnie jak i rzeczki </w:t>
      </w:r>
      <w:proofErr w:type="spellStart"/>
      <w:r>
        <w:rPr>
          <w:rFonts w:ascii="Bookman Old Style" w:hAnsi="Bookman Old Style"/>
        </w:rPr>
        <w:t>Fleet</w:t>
      </w:r>
      <w:proofErr w:type="spellEnd"/>
      <w:r>
        <w:rPr>
          <w:rFonts w:ascii="Bookman Old Style" w:hAnsi="Bookman Old Style"/>
        </w:rPr>
        <w:t xml:space="preserve">, która płynie sobie teraz ukryta głęboko pod powierzchnią miasta. Rewolucja przemysłowa, epoka wiktoriańska i wiek XX zmieniły oblicze Londynu, miasto powiększyło się od połowy XVIII stulecia kilkakrotnie. Już dawno przestało być stolicą nieistniejącego imperium, może nawet pępkiem świata. Ale ma British </w:t>
      </w:r>
      <w:proofErr w:type="spellStart"/>
      <w:r>
        <w:rPr>
          <w:rFonts w:ascii="Bookman Old Style" w:hAnsi="Bookman Old Style"/>
        </w:rPr>
        <w:t>Museum</w:t>
      </w:r>
      <w:proofErr w:type="spellEnd"/>
      <w:r>
        <w:rPr>
          <w:rFonts w:ascii="Bookman Old Style" w:hAnsi="Bookman Old Style"/>
        </w:rPr>
        <w:t xml:space="preserve">, w którym kilka pokoleń entuzjastów zgromadziło w jednym miejscu niezwykłą mozaikę historii człowieka od zarania dziejów. </w:t>
      </w: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</w:p>
    <w:tbl>
      <w:tblPr>
        <w:tblW w:w="0" w:type="auto"/>
        <w:jc w:val="center"/>
        <w:tblInd w:w="2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5"/>
        <w:gridCol w:w="2520"/>
        <w:gridCol w:w="1980"/>
      </w:tblGrid>
      <w:tr w:rsidR="00C441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Dzień</w:t>
            </w:r>
          </w:p>
        </w:tc>
        <w:tc>
          <w:tcPr>
            <w:tcW w:w="252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Godziny otwarcia</w:t>
            </w:r>
          </w:p>
        </w:tc>
        <w:tc>
          <w:tcPr>
            <w:tcW w:w="198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Ceny biletów</w:t>
            </w:r>
          </w:p>
        </w:tc>
      </w:tr>
      <w:tr w:rsidR="00C441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</w:tcPr>
          <w:p w:rsidR="00C441DB" w:rsidRDefault="00C441DB" w:rsidP="00C441D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Poniedziałek</w:t>
            </w:r>
          </w:p>
        </w:tc>
        <w:tc>
          <w:tcPr>
            <w:tcW w:w="252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10-18</w:t>
            </w:r>
          </w:p>
        </w:tc>
        <w:tc>
          <w:tcPr>
            <w:tcW w:w="198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5 </w:t>
            </w:r>
            <w:r>
              <w:t>£</w:t>
            </w:r>
          </w:p>
        </w:tc>
      </w:tr>
      <w:tr w:rsidR="00C441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</w:tcPr>
          <w:p w:rsidR="00C441DB" w:rsidRDefault="00C441DB" w:rsidP="00C441D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Wtorek</w:t>
            </w:r>
          </w:p>
        </w:tc>
        <w:tc>
          <w:tcPr>
            <w:tcW w:w="252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10-18</w:t>
            </w:r>
          </w:p>
        </w:tc>
        <w:tc>
          <w:tcPr>
            <w:tcW w:w="198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5 </w:t>
            </w:r>
            <w:r>
              <w:t>£</w:t>
            </w:r>
          </w:p>
        </w:tc>
      </w:tr>
      <w:tr w:rsidR="00C441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</w:tcPr>
          <w:p w:rsidR="00C441DB" w:rsidRDefault="00C441DB" w:rsidP="00C441D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Środa</w:t>
            </w:r>
          </w:p>
        </w:tc>
        <w:tc>
          <w:tcPr>
            <w:tcW w:w="252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10-18</w:t>
            </w:r>
          </w:p>
        </w:tc>
        <w:tc>
          <w:tcPr>
            <w:tcW w:w="198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5 </w:t>
            </w:r>
            <w:r>
              <w:t>£</w:t>
            </w:r>
          </w:p>
        </w:tc>
      </w:tr>
      <w:tr w:rsidR="00C441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</w:tcPr>
          <w:p w:rsidR="00C441DB" w:rsidRDefault="00C441DB" w:rsidP="00C441D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Piątek</w:t>
            </w:r>
          </w:p>
        </w:tc>
        <w:tc>
          <w:tcPr>
            <w:tcW w:w="252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10-18</w:t>
            </w:r>
          </w:p>
        </w:tc>
        <w:tc>
          <w:tcPr>
            <w:tcW w:w="198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5 </w:t>
            </w:r>
            <w:r>
              <w:t>£</w:t>
            </w:r>
          </w:p>
        </w:tc>
      </w:tr>
      <w:tr w:rsidR="00C441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</w:tcPr>
          <w:p w:rsidR="00C441DB" w:rsidRDefault="00C441DB" w:rsidP="00C441D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Sobota</w:t>
            </w:r>
          </w:p>
        </w:tc>
        <w:tc>
          <w:tcPr>
            <w:tcW w:w="252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9-20</w:t>
            </w:r>
          </w:p>
        </w:tc>
        <w:tc>
          <w:tcPr>
            <w:tcW w:w="198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7 </w:t>
            </w:r>
            <w:r>
              <w:t>£</w:t>
            </w:r>
          </w:p>
        </w:tc>
      </w:tr>
      <w:tr w:rsidR="00C441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</w:tcPr>
          <w:p w:rsidR="00C441DB" w:rsidRDefault="00C441DB" w:rsidP="00C441D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Niedziela</w:t>
            </w:r>
          </w:p>
        </w:tc>
        <w:tc>
          <w:tcPr>
            <w:tcW w:w="252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9-20</w:t>
            </w:r>
          </w:p>
        </w:tc>
        <w:tc>
          <w:tcPr>
            <w:tcW w:w="1980" w:type="dxa"/>
          </w:tcPr>
          <w:p w:rsidR="00C441DB" w:rsidRDefault="00C441DB" w:rsidP="00C441D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7 </w:t>
            </w:r>
            <w:r>
              <w:t>£</w:t>
            </w:r>
          </w:p>
        </w:tc>
      </w:tr>
    </w:tbl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</w:p>
    <w:p w:rsidR="00C441DB" w:rsidRDefault="00C441DB" w:rsidP="00C441D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MICHAŁ DZIERŻA </w:t>
      </w:r>
    </w:p>
    <w:p w:rsidR="00C441DB" w:rsidRPr="00C441DB" w:rsidRDefault="00C441DB" w:rsidP="00C441DB"/>
    <w:sectPr w:rsidR="00C441DB" w:rsidRPr="00C441D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C04C1"/>
    <w:multiLevelType w:val="hybridMultilevel"/>
    <w:tmpl w:val="FDB81F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DB"/>
    <w:rsid w:val="00A61648"/>
    <w:rsid w:val="00C4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441DB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441DB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Nazwisko</vt:lpstr>
    </vt:vector>
  </TitlesOfParts>
  <Company>PTI</Company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Nazwisko</dc:title>
  <dc:creator>Tomek</dc:creator>
  <cp:lastModifiedBy>Aleksander Burek</cp:lastModifiedBy>
  <cp:revision>2</cp:revision>
  <dcterms:created xsi:type="dcterms:W3CDTF">2016-03-04T14:35:00Z</dcterms:created>
  <dcterms:modified xsi:type="dcterms:W3CDTF">2016-03-04T14:35:00Z</dcterms:modified>
</cp:coreProperties>
</file>